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2C_795/2013 vom 16. Juni 2014</w:t>
      </w:r>
    </w:p>
    <w:p>
      <w:r>
        <w:t>Bundesgericht, 2014-06-16, DE</w:t>
      </w:r>
    </w:p>
    <w:p>
      <w:r>
        <w:rPr>
          <w:b/>
        </w:rPr>
        <w:t xml:space="preserve">Quelle: </w:t>
      </w:r>
      <w:r>
        <w:t>https://mcp.opencaselaw.ch/entscheid/bger_2C_795_2013</w:t>
      </w:r>
    </w:p>
    <w:p>
      <w:r>
        <w:t>FR: TF 2C_795/2013 du 16 juin 2014</w:t>
      </w:r>
    </w:p>
    <w:p>
      <w:r>
        <w:t>IT: TF 2C_795/2013 del 16 giugno 2014</w:t>
      </w:r>
    </w:p>
    <w:p>
      <w:pPr>
        <w:pStyle w:val="Heading2"/>
      </w:pPr>
      <w:r>
        <w:t>Erwägungen</w:t>
      </w:r>
    </w:p>
    <w:p>
      <w:r>
        <w:rPr>
          <w:b/>
        </w:rPr>
        <w:t>E. 1.1</w:t>
      </w:r>
    </w:p>
    <w:p>
      <w:r>
        <w:t>Die Beschwerdeführenden haben frist- und formgerecht (im Sinne von Art. 100 Abs. 1 und Art. 42 BGG ) eine Beschwerde (in Zivilsachen) eingereicht. Sie richtet sich gegen einen Endentscheid einer letzten oberen kantonalen Instanz ( Art. 86 Abs. 1 lit. d und Abs. 2; Art. 90 BGG ) auf dem Gebiet der Staatshaftung.</w:t>
      </w:r>
    </w:p>
    <w:p>
      <w:r>
        <w:rPr>
          <w:b/>
        </w:rPr>
        <w:t>E. 1.2</w:t>
      </w:r>
    </w:p>
    <w:p>
      <w:r>
        <w:t>Vorbehältlich der medizinischen Haftung ( Art. 72 Abs. 2 lit. b BGG ; Art. 31 lit. d des Reglements für das Bundesgericht vom 20. November 2006; SR 173.110.131) unterliegen Entscheide auf dem Gebiet der Staatshaftung der Beschwerde in öffentlich-rechtlichen Angelegenheiten an das Bundesgericht ( Art. 82 lit. a BGG ), sofern das Streitwerterfordernis von Fr. 30'000.-- ( Art. 85 Abs. 1 lit. a BGG ) erfüllt ist ( BGE 135 III 329 E. 1.1 S. 331). Das als Beschwerde in Zivilsachen eingereichte Rechtsmittel betrifft die Haftung eines Gemeinwesens auf dem Gebiet der öffentlichen Schule und erfüllt das Streitwerterfordernis. Da die Prozessvoraussetzungen erfüllt sind, kann es als Beschwerde in öffentlich-rechtlichen Angelegenheiten entgegengenommen werden; die unzutreffende Bezeichnung schadet nicht ( BGE 131 I 291 E. 1.3 S. 296).</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Dies trifft für die Beschwerdeführenden zu. Auf die form- und fristgerecht eingereichte Beschwerde gegen das angefochtene Urteil der Vorinstanz vom 28. Juni 2013, mit welchem diese ihre Klage auf Leistung von Genugtuung abgewiesen hat, ist, vorbehältlich genügend begründeter Rügen, einzutreten.</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Bundesrecht, das gestützt auf einen Verweis in einer kantonalen Rechtsgrundlage Anwendung findet, gilt als subsidiäres kantonales Recht (Urteil 2C_692/2012 vom 10. Februar 2013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(zum Begriff der Willkür vgl.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genügt den Begründungs- bzw. Rügeanforderungen nicht (vgl. BGE 139 II 404 E. 10.1 S. 445 mit Hinweisen).</w:t>
      </w:r>
    </w:p>
    <w:p>
      <w:r>
        <w:rPr>
          <w:b/>
        </w:rPr>
        <w:t>E. 3</w:t>
      </w:r>
    </w:p>
    <w:p>
      <w:r>
        <w:t>Gemäss Art. 112 Abs. 1 lit. b BGG müssen Entscheide, die der Beschwerde an das Bundesgericht unterliegen, namentlich die massgebenden Gründe tatsächlicher und rechtlicher Art enthalten, insbesondere die Angabe der angewendeten Gesetzesbestimmungen (Urteil 1B_62/2014 vom 4. April 2014 E. 2.2.1; Urteil 4A_538/2013 vom 19. März 2014 E. 3.1 f.; Urteil 5D_10/2014 vom 25. März 2014 E. 2.1). Es erscheint fraglich, ob der angefochtene Entscheid diesen Anforderungen genügt, geht doch aus der Urteilsbegründung insbesondere nicht hervor, aus welchen Gründen rechtlicher Art und in Anwendung welcher Norm des kantonalen Haftungsrechts eine Sorgfaltspflichtverletzung haftungsbegründend sein soll. Die Frage braucht indes nicht weiter vertieft zu werden, denn das angefochtene Urteil ist aus einem anderen Grund ohnehin aufzuheben.</w:t>
      </w:r>
    </w:p>
    <w:p>
      <w:r>
        <w:rPr>
          <w:b/>
        </w:rPr>
        <w:t>E. 4</w:t>
      </w:r>
    </w:p>
    <w:p>
      <w:r>
        <w:t>Mit Beschwerde an das Bundesgericht rügen die Beschwerdeführenden insbesondere, die Vorinstanz habe ihr Recht auf Beweis und damit ihren rechtlichen Gehöranspruch verletzt. Entgegen den vorinstanzlichen Erwägungen hätten die Beschwerdeführenden in ihrer Replik sowohl das Einholen einer Expertise wie auch eines Berichts zur Frage beantragt, ob sich die gesamte, für das River Rafting anlässlich des Abschlussausflugs vorgesehene Strecke für das Durchfahren mit Jugendlichen im Alter von 15 Jahren eigne. Das angefochtene Urteil sei in diesem Punkt aktenwidrig. Die Beschwerdeführenden hätten nicht nur rechtzeitig eine Expertise beantragt, sondern auch sachverständige Zeugen angerufen.</w:t>
      </w:r>
    </w:p>
    <w:p>
      <w:r>
        <w:rPr>
          <w:b/>
        </w:rPr>
        <w:t>E. 4.1</w:t>
      </w:r>
    </w:p>
    <w:p>
      <w:r>
        <w:t>Es trifft zu, dass die Beschwerdeführenden mit Replik vom 8. August 2011 an das Bezirksgericht Dielsdorf und damit frist- und formgerecht im Sinne der von der ersten Instanz angewandten Verfahrensordnung (§ 113 f. der Zivilprozessordnung des Kantons Zürich vom 13. Juni 1976; dazu FRANK/MESSMER/STRÄULI, Kommentar zur zürcherischen Zivilprozessordnung, 3. Aufl. 1997, N. 18 zu § 113 ZPO /ZH, N. 1a und 4 zu § 114 ZPO /ZH) die genannten Beweisanträge gestellt haben. Ob das Verfahren vor der ersten Instanz gestützt auf die übergangsrechtlichen Bestimmungen der ZPO ( Art. 404 ff. ZPO ) durch diese Verfahrensordnung und dasjenige vor der Vorinstanz durch die ZPO geregelt wird (vgl. dazu Urteil 4A_546/2013 vom 13. März 2014 E. 3.1.2), kann vorliegend deswegen offen bleiben, weil dieser Antrag im Sinne beider Verfahrensordnungen (§ 113 f. ZPO/ZH; Art. 229 Abs. 2 ZPO ) und selbst bei einer Anwendbarkeit des Verwaltungsrechtspflegegesetzes des Kantons Zürich vom 24. Mai 1959 rechtzeitig erfolgt ist (zur Eventualmaxime vgl. BERTSCHI, in: Kommentar VRG, 3. Aufl. 2014, N. 33 Vorbemerkungen zu §§ 19-28a).</w:t>
      </w:r>
    </w:p>
    <w:p>
      <w:r>
        <w:rPr>
          <w:b/>
        </w:rPr>
        <w:t>E. 4.2</w:t>
      </w:r>
    </w:p>
    <w:p>
      <w:r>
        <w:t>Der verfassungsmässige Anspruch auf rechtliches Gehör gemäss Art. 29 Abs. 2 BV gewährleistet den Parteien unter anderem das persönlichkeitsbezogene Mitwirkungsrecht in allen Verfahren, Beweisanträge zu stellen, und verpflichtet die Behörden, rechtzeitig und formgültig angebotene Beweisbegehren entgegenzunehmen und zu berücksichtigen, soweit diese rechtserhebliche Tatsachen betreffen ( BGE 138 V 125 E. 2.1 S. 127 ; 136 I 265 E. 3.2 S. 272). Dieser Anspruch ist insbesondere dann verletzt, wenn der kantonale Richter Behauptungen einer Partei, unbekümmert darum, dass sie von der Gegenpartei bestritten worden sind, als richtig hinnimmt oder über rechtserhebliche Tatsachen überhaupt nicht Beweis führen lässt (vgl. BGE 133 III 295 E. 7.1 S. 299). Das Recht auf Beweis ist aber auch verletzt, wenn Beweislosigkeit angenommen wird, obwohl die beweisbelastete Partei taugliche Beweismittel prozessual gehörig angeboten hatte, diese aber nicht abgenommen worden sind ( BGE 123 III 35 E. 2b S. 40; Urteil 4A_48/2008 vom 10. Juni 2008 E. 3.2). Dagegen ist es zulässig, auf die Abnahme von Beweisen verzichten, wenn das Gericht auf Grund bereits abgenommener Beweise seine Überzeugung gebildet hat und ohne Willkür annehmen kann, seine Überzeugung werde durch weitere Beweiserhebungen nicht geändert (antizipierte Beweiswürdigung; BGE 134 I 140 E. 5.3 S. 148).</w:t>
      </w:r>
    </w:p>
    <w:p>
      <w:r>
        <w:rPr>
          <w:b/>
        </w:rPr>
        <w:t>E. 4.3</w:t>
      </w:r>
    </w:p>
    <w:p>
      <w:r>
        <w:t>Die Vorinstanz ist zu Unrecht davon ausgegangen, die Beschwerdeführenden hätten keine Beweisanträge betreffend die natürlichen Begebenheiten der zu befahrenen Flussabschnitts gestellt. Sie hat diesen Aspekt offenbar auch nicht als bedeutungslos erachtet, sondern selbst auf Ungereimtheiten in der Beurteilung durch das Bundesamt für Sport (BASPO) hingewiesen. In der Folge ist die Vorinstanz davon ausgegangen, die Beschwerdeführenden treffe die Beweislast hinsichtlich der Haftungsvoraussetzungen, weshalb sie das Vorliegen einer Sorgfaltspflichtverletzung hätten beweisen müssen, was ihnen misslungen sei. Indem die Vorinstanz den Beweisantrag zu einer von ihr als rechtserheblich erachteten Tatsache nicht abgenommen hat und von Beweislosigkeit ausging, hat sie das verfassungsmässige Recht der Beschwerdeführenden auf Beweis ( Art. 29 Abs. 2 BV ) verletzt.</w:t>
      </w:r>
    </w:p>
    <w:p>
      <w:r>
        <w:rPr>
          <w:b/>
        </w:rPr>
        <w:t>E. 5</w:t>
      </w:r>
    </w:p>
    <w:p>
      <w:r>
        <w:t>Damit ist die Beschwerde gutzuheissen, das angefochtene Urteil aufzuheben und die Sache zu neuem Entscheid an die Vorinstanz zurückzuweisen.</w:t>
      </w:r>
    </w:p>
    <w:p>
      <w:r>
        <w:t>Die Kosten von Fr. 5'500.-- für das bundesgerichtliche Verfahren, das vermögenswerte Interessen der Beschwerdegegnerin betrifft, werden der Beschwerdegegnerin auferlegt ( Art. 66 Abs. 1 und Abs. 4 BGG ). Die Beschwerdegegnerin hat die Beschwerdeführenden mit Fr. 8'000.--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