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2C_795/2010 vom 1. März 2011</w:t>
      </w:r>
    </w:p>
    <w:p>
      <w:r>
        <w:t>Bundesgericht, 2011-03-01, DE</w:t>
      </w:r>
    </w:p>
    <w:p>
      <w:r>
        <w:rPr>
          <w:b/>
        </w:rPr>
        <w:t xml:space="preserve">Quelle: </w:t>
      </w:r>
      <w:r>
        <w:t>https://mcp.opencaselaw.ch/entscheid/bger_2C_795_2010</w:t>
      </w:r>
    </w:p>
    <w:p>
      <w:r>
        <w:t>FR: TF 2C_795/2010 du 1 mars 2011</w:t>
      </w:r>
    </w:p>
    <w:p>
      <w:r>
        <w:t>IT: TF 2C_795/2010 del 1 marzo 2011</w:t>
      </w:r>
    </w:p>
    <w:p>
      <w:pPr>
        <w:pStyle w:val="Heading2"/>
      </w:pPr>
      <w:r>
        <w:t>Erwägungen</w:t>
      </w:r>
    </w:p>
    <w:p>
      <w:r>
        <w:rPr>
          <w:b/>
        </w:rPr>
        <w:t>E. 1.1</w:t>
      </w:r>
    </w:p>
    <w:p>
      <w:r>
        <w:t>Angefochten ist ein letztinstanzlicher kantonaler Endentscheid über eine gestützt auf Art. 10 Abs. 1 lit. a und lit. b des Bundesgesetzes vom 26. März 1931 über Aufenthalt und Niederlassung der Ausländer (ANAG) verfügte Ausweisung, wogegen das ordentliche Rechtsmittel der Beschwerde in öffentlich-rechtlichen Angelegenheiten zulässig ist ( Art. 83 lit. c BGG e contrario). Der Beschwerdeführer ist hierzu legitimiert ( Art. 89 Abs. 1 BGG ).</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 wie hier - ein Ausweisungsverfahren noch vor Inkrafttreten des neuen Rechts eröffnet worden ist (vgl. Urteil 2C_745/2008 vom 24. Februar 2009, E. 1.2.2-1.2.4).</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135 II 384 E. 2.2.1 S. 389).</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1.5</w:t>
      </w:r>
    </w:p>
    <w:p>
      <w:r>
        <w:t>Soweit der Beschwerdeführer wiederholt auf Ausführungen und Akten vor der Vorinstanz verweist (vgl. Beschwerdeschrift Ziff. II/5, III/8), tritt das Bundesgericht praxisgemäss nicht darauf ein. Wie unter der Herrschaft des Bundesgesetzes vom 16. Dezember 1943 über die Organisation der Bundesrechtspflege (OG; BS 3 531) müssen die erhobenen Rügen in der Beschwerdeschrift selber enthalten sein; der blosse Verweis auf Ausführungen in anderen Rechtsschriften oder auf die Akten reicht nicht aus ( BGE 133 II 396 E. 3.1 S. 399 f. mit Hinweisen).</w:t>
      </w:r>
    </w:p>
    <w:p>
      <w:r>
        <w:rPr>
          <w:b/>
        </w:rPr>
        <w:t>E. 2</w:t>
      </w:r>
    </w:p>
    <w:p>
      <w:r>
        <w:t>Der Beschwerdeführer bringt mit Hinweis auf das Urteilsrubrum zunächst vor, die Vorinstanz habe - entgegen den Vorschriften in der thurgauischen Verwaltungsrechtspflege - den angefochtenen Entscheid in Vierer- anstatt Fünferbesetzung entschieden. Falls es sich nicht um ein redaktionelles Versehen handle, liege damit ein Verstoss gegen Art. 30 Abs. 1 BV (Anspruch auf ein gesetzmässiges Gericht) vor. Mit Vernehmlassung vom 9. November 2010 teilt das Verwaltungsgericht mit, dass es am 8. September 2010 korrekt in Fünferbesetzung getagt, aufgrund eines redaktionellen Fehlers jedoch lediglich vier der fünf Richter im Rubrum aufgeführt habe. Es liegt mithin ein korrigierbares Versehen der Vorinstanz vor, vergleichbar einem einfachen Redaktions- bzw. Kanzleifehler. Dieser Kanzleifehler kann ohne Weiteres berichtigt werden, da er keinen Einfluss auf das Dispositiv oder auf den erheblichen Inhalt der Begründung ausübt (vgl. BGE 119 Ib 366 E. 2 S. 369; Urteile C 30/06 vom 8. Januar 2007 E. 2; 2A.132/1996 vom 6. März 1996 E. 6; RHINOW/KOLLER/KISS/THURNHERR/ BRÜHL-MOSER, Öffentliches Prozessrecht, 2. Aufl. 2010, N. 1412; HÄFELIN/MÜLLER/UHLMANN, Allgemeines Verwaltungsrecht, 6. Aufl. 2010, N. 1848; KARIN SCHERRER, in: Waldmann/Weissenberger [Hrsg.], Praxiskommentar zum VwVG, 2009, Rz. 5 zu Art. 69 VwVG ). Dies gilt umso mehr, als dem Beschwerdeführer die Vernehmlassung des Verwaltungsgerichts zugestellt wurde und dieser sich in der Folge nicht mehr zur Thematik des gesetzmässigen Gerichts geäussert hat.</w:t>
      </w:r>
    </w:p>
    <w:p>
      <w:r>
        <w:rPr>
          <w:b/>
        </w:rPr>
        <w:t>E. 3.1</w:t>
      </w:r>
    </w:p>
    <w:p>
      <w:r>
        <w:t>Das Bundesgericht hat im Urteil 2C_18/2009 vom 7. September 2009 E. 2.1 bereits dargelegt, dass sowohl der Ausweisungsgrund von Art. 10 Abs. 1 lit. a ANAG ("wenn er wegen eines Verbrechens oder Vergehens gerichtlich bestraft wurde") wie auch von Art. 10 Abs. 1 lit. b ANAG ("wenn sein Verhalten im Allgemeinen und seine Handlungen darauf schliessen lassen, dass er nicht gewillt oder nicht fähig ist, sich in die im Gaststaat geltende Ordnung einzufügen") als erfüllt zu betrachten sind.</w:t>
      </w:r>
    </w:p>
    <w:p>
      <w:r>
        <w:rPr>
          <w:b/>
        </w:rPr>
        <w:t>E. 3.2</w:t>
      </w:r>
    </w:p>
    <w:p>
      <w:r>
        <w:t>In Bezug auf die Verhältnismässigkeit der Ausweisung kann ebenfalls auf das erwähnte Urteil 2C_18/2009 E. 2.2 Bezug genommen werden. Danach soll die Ausweisung nach Art. 11 Abs. 3 ANAG nur verfügt werden, wenn sie nach den gesamten Umständen angemessen erscheint. Für die Beurteilung der Angemessenheit, d.h. der Verhältnismässigkeit der Ausweisung, erklärt Art. 16 Abs. 3 der Vollziehungsverordnung vom 1. März 1949 zum Bundesgesetz über Aufenthalt und Niederlassung der Ausländer (ANAV; AS 1949 228)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 Je länger ein Ausländer in der Schweiz anwesend war, desto strengere Anforderungen sind grundsätzlich an die Anordnung einer Ausweisung zu stellen. Zwar ist selbst bei einem Ausländer, der bereits hier geboren ist und sein ganzes bisheriges Leben in der Schweiz verbracht hat, eine Ausweisung nicht ausgeschlossen. Unter den Gesichtspunkten der Dauer der Anwesenheit sowie der persönlichen und familiären Nachteile ist es aber grundsätzlich angezeigt, bei Ausländern, die in der Schweiz aufgewachsen sind, von dieser fremdenpolizeilichen Massnahme zurückhaltend Gebrauch zu machen. Entscheidend ist aber in jedem Fall die Verhältnismässigkeitsprüfung, die gestützt auf die gesamten wesentlichen Umstände des Einzelfalles vorzunehmen ist ( BGE 135 II 110 E. 2.1 S. 112 mit Hinweisen).</w:t>
      </w:r>
    </w:p>
    <w:p>
      <w:r>
        <w:rPr>
          <w:b/>
        </w:rPr>
        <w:t>E. 3.3</w:t>
      </w:r>
    </w:p>
    <w:p>
      <w:r>
        <w:t>Weiter hat das Bundesgericht im Urteil 2C_18/2009 E. 2.3 bereits festgehalten, dass sich im vorliegenden Fall die Ausweisung gegen einen Ausländer richtet, der seine Kindheit und Jugend praktisch vollständig hierzulande verbracht hat und als Minderjähriger straffällig wurde. Nach der Rechtsprechung des Europäischen Gerichtshofes für Menschenrechte bedarf es in derartigen Fällen besonders gewichtiger Gründe, um eine aufenthaltsbeendende Massnahme zu rechtfertigen (Urteil des EGMR Maslov gegen Österreich vom 23. Juni 2008, Rz. 75). Insofern kommt dem Kriterium des Zeitablaufs seit Tatbegehung und einem seitherigen Wohlverhalten in derartigen Konstellationen im Hinblick auf die Beurteilung des Rückfallrisikos eine erhöhte Tragweite zu.</w:t>
      </w:r>
    </w:p>
    <w:p>
      <w:r>
        <w:t>Das Bundesgericht ist hier zum Schluss gekommen, dass angesichts der schweren Delikte und den in den Jahren 2002 bis 2007 anhaltenden regelmässigen Verstössen gegen die Rechtsordnung, welche von mangelnder Einsicht ins eigene Fehlverhalten und einem Unwillen zu einer Verhaltensänderung zeugen, von einem erheblichen öffentlichen Interesse an der Fernhaltung des Beschwerdeführers auszugehen ist, zumal unter solchen Umständen eine Rückfallgefahr nicht ausgeschlossen werden kann (erwähntes Urteil 2C_18/2009 E. 2.4). Das Bundesgericht hat die Beschwerde (vom 12. Januar 2009) unter Berücksichtigung des seit der Tatbegehung vergangenen Zeitraums und des Verhaltens während dieser Periode (annähernd zwei Jahre deliktfreies Verhalten, erfolgreicher Drogenentzug, psychologische Therapie, Abschluss einer Abzahlungsvereinbarung mit einem Opfer, feste Arbeitsstelle) gutgeheissen und die Sache zur Vornahme zusätzlicher Abklärungen an die Vorinstanz zurückgewiesen (Urteil 2C_18/2009 vom 7. September 2009 E. 2.5 und 2.6, vgl. auch Sachverhalt lit. A.d hiervor).</w:t>
      </w:r>
    </w:p>
    <w:p>
      <w:r>
        <w:rPr>
          <w:b/>
        </w:rPr>
        <w:t>E. 3.4</w:t>
      </w:r>
    </w:p>
    <w:p>
      <w:r>
        <w:t>Zu prüfen ist damit im Folgenden, was die von den kantonalen Behörden vorgenommene erweiterte Prüfung der aktuellen Situation des Beschwerdeführers (hinsichtlich Deliktsfreiheit, Drogenabstinenz, Erwerbstätigkeit, charakterliche Entwicklung, therapeutische Fortschritte, Ausgang der hängigen Strafverfahren) ergeben hat und zu welcher Beurteilung der Verhältnismässigkeit der verfügten Ausweisung sie führt. Mit anderen Worten ist abzuwägen, ob für den Beschwerdeführer Aussicht auf ein künftiges deliktfreies Leben besteht oder ob auch die Berücksichtigung der aktuellen Situation keine bessere Prognose für ihn rechtfertigt.</w:t>
      </w:r>
    </w:p>
    <w:p>
      <w:r>
        <w:rPr>
          <w:b/>
        </w:rPr>
        <w:t>E. 4</w:t>
      </w:r>
    </w:p>
    <w:p>
      <w:r>
        <w:t>Das Verwaltungsgericht ist im angefochtenen Entscheid zu Recht davon ausgegangen, dass sich die zwischenzeitlich erkennbare positive Verhaltensänderung aufgrund der im Folgenden aufzuzeigenden Umstände nicht bestätigt hat und damit erhebliche Zweifel an der zukünftigen Deliktsfreiheit des Beschwerdeführers bestehen:</w:t>
      </w:r>
    </w:p>
    <w:p>
      <w:r>
        <w:rPr>
          <w:b/>
        </w:rPr>
        <w:t>E. 4.1</w:t>
      </w:r>
    </w:p>
    <w:p>
      <w:r>
        <w:t>Zunächst ist der Schluss der Vorinstanz, der Verlust der Arbeitsstelle sowie die Nichterfüllung der Abzahlungsvereinbarung gegenüber seinem Opfer spreche gegen eine positive Entwicklung, nicht zu beanstanden: Der Beschwerdeführer räumt selbst ein, aufgrund einer ungenügenden Abmeldung bei seiner Arbeitgeberin sei ihm fristlos gekündigt worden. Soweit der Beschwerdeführer neu erstmals vorbringt, er habe wieder eine Festanstellung gefunden, handelt es sich um ein unzulässiges Novum; die Bestätigung vom 15. Oktober 2010 bzw. der Arbeitsvertrag vom 29. Oktober 2010 sind als unzulässige "echte" Noven aus dem Recht zu weisen ( Art. 99 Abs. 1 BGG ; BGE 133 IV 342 E. 2.1 S. 344 mit Hinweisen). Im Übrigen räumt der Beschwerdeführer ein, dass er die noch vom Bundesgericht im Urteil 2C_18/2009 vom 7. September 2009 als positiv vermerkte Abzahlungsvereinbarung mit seinem Betrugsopfer nicht mehr einhält, dafür aber finanzielle Mittel eingesetzt hat, um sich ein (Occasions-)Fahrzeug zu beschaffen. Daraus durfte die Vorinstanz schliessen, die Prioritäten des Beschwerdeführers seien in erster Linie auf seine eigenen Bedürfnisse gerichtet, da die - angebliche - finanzielle Unterstützung durch den Vater durchaus auch für weitere Abzahlungen an sein Opfer hätte verwendet werden können.</w:t>
      </w:r>
    </w:p>
    <w:p>
      <w:r>
        <w:rPr>
          <w:b/>
        </w:rPr>
        <w:t>E. 4.2</w:t>
      </w:r>
    </w:p>
    <w:p>
      <w:r>
        <w:t>Weiter führt die Vorinstanz die Strafverfügung vom 31. Mai 2010 der Jugendanwaltschaft des Kantons Thurgau ins Feld, wonach der Beschwerdeführer wegen mehrfachen Betrugs sowie der Widerhandlung gegen das Strassenverkehrsgesetz zu einer unbedingten Freiheitsstrafe von 15 Monaten verurteilt worden ist. In diesem Entscheid wird ausgeführt, aufgrund des Verschuldens des Angeschuldigten, seines Vorlebens und seiner persönlichen Verhältnisse seien die Voraussetzungen für eine bedingte Strafe nicht mehr gegeben. Vielmehr sei davon auszugehen, der Angeschuldigte sei nicht bereit, sich rechtskonform zu verhalten. Weiter ist die Rede von einem "recht schweren Verschulden".</w:t>
      </w:r>
    </w:p>
    <w:p>
      <w:r>
        <w:t>Der Beschwerdeführer wendet ein, er habe gegen die oben erwähnte Strafverfügung Einsprache erhoben, weshalb diese noch nicht rechtskräftig sei. Indem die Vorinstanz auf die noch nicht rechtskräftige Verfügung abgestellt habe, verstosse sie gegen die verbindlichen Vorgaben im (ersten) Bundesgerichtsurteil. Die Vorinstanz habe damit auch willkürlich gehandelt, weil sie durch ihr Verhalten gegen die Unschuldsvermutung verstossen habe. Dieser Einwand mag zwar insofern stichhaltig sein, als die nicht rechtskräftig abgeurteilten Delikte nicht unter den Tatbestand von Art. 10 Abs. 1 lit. a ANAG subsumiert werden können. Es steht jedoch nichts entgegen, diese Verfehlungen unter dem Gesichtspunkt von Art 10 Abs. 1 lit. b ANAG zu berücksichtigen, soweit sie unbestritten sind oder aufgrund der Akten sonst wie keine Zweifel bestehen, dass sie dem Betreffenden zur Last zu legen sind (Urteile des Bundesgerichts 2A.41/2003 vom 2. Juni 2003 E. 3.2; 2A.310/1998 vom 22. April 1999 E. 2c). Inwiefern sich die Vorinstanz nicht an die verbindlichen Erwägungen des Bundesgerichts (im Urteil 2C_18/2009 vom 7. September 2009) gehalten haben soll, leuchtet schliesslich nicht ein: selbst wenn in der erwähnten Strafverfügung der bedingte Strafvollzug gewährt worden wäre, würde dies im Ergebnis nichts daran ändern, dass unter Berücksichtigung sämtlicher Umstände (vgl. insb. E. 4.3 und 4.4 hiernach) starke Zweifel an der zukünftigen Deliktsfreiheit des Beschwerdeführers bestehen.</w:t>
      </w:r>
    </w:p>
    <w:p>
      <w:r>
        <w:rPr>
          <w:b/>
        </w:rPr>
        <w:t>E. 4.3</w:t>
      </w:r>
    </w:p>
    <w:p>
      <w:r>
        <w:t>Die Vorinstanz durfte sich weiter - trotz Bestreiten durch den Beschuldigten - auf die vom Untersuchungsrichteramt des Kantons Thurgau im Frühling 2010 gegen den Beschwerdeführer eröffnete Strafuntersuchung wegen Raub, Diebstahl, Drohung, Nötigung und Widerhandlungen gegen das Betäubungsmittelgesetz und die in diesem Zusammenhang verhängte Untersuchungshaft beziehen. Die gegenüber dem Beschwerdeführer erhobenen Vorwürfe dürfen ohne Verletzung der Unschuldsvermutung mitberücksichtigt werden, selbst wenn diese nicht oder zumindest noch nicht zu einer Verurteilung geführt haben: Vorliegend geht es nicht darum, dem Beschwerdeführer eine strafrechtliche Verfehlung zu unterstellen. Den Vorwürfen kommt aber insoweit eine gewisse Bedeutung zu, als sie aufzeigen, dass sich die Strafverfolgungsorgane immer wieder mit dem Beschwerdeführer und seinen Aktivitäten befassen müssen und dieser ein Verhalten an den Tag legt, das von diversen Drittpersonen - zu Recht oder zu Unrecht - als kriminell erachtet wird. Diesem Umstand darf im Rahmen der Prüfung der Deliktsprognose mit einer gewissen Zurückhaltung Rechnung getragen werden (Urteile 2C_845/2009 vom 17. August 2010 E. 5; 2C_596/2009 vom 23. April 2010 E. 6; 2C_561/2008 vom 5. November 2008 E. 5.3).</w:t>
      </w:r>
    </w:p>
    <w:p>
      <w:r>
        <w:rPr>
          <w:b/>
        </w:rPr>
        <w:t>E. 4.4</w:t>
      </w:r>
    </w:p>
    <w:p>
      <w:r>
        <w:t>Schliesslich durfte die Vorinstanz ohne Weiteres den Strafbescheid vom 11. August 2010 (Verurteilung wegen grober Verletzung der Verkehrsregeln und Fahren in fahrunfähigem Zustand zu einer unbedingten Geldstrafe von 40 Tagessätzen zu je Fr. 60.--, total Fr. 2'400.--) zuungunsten des Beschwerdeführers würdigen. In der Begründung des - soweit ersichtlich - in Rechtskraft erwachsenen Bescheids wird ausgeführt, dass aufgrund der Vorakten nicht mehr von einer günstigen Prognose ausgegangen werden könne und der Beschwerdeführer als unbelehrbar und uneinsichtig bezeichnet werden müsse, weshalb die erneute Sanktion unbedingt auszusprechen sei. Diese Verurteilung ist - entgegen den Ausführungen in der Beschwerdeschrift - keineswegs zu bagatellisieren: Der Beschwerdeführer verursachte am 22. März 2010 mit einer qualifizierten Blutalkoholkonzentration von 1.08 Gewichtspromillen einen Verkehrsunfall, indem er in einer Rechtskurve komplett auf die Gegenfahrbahn geriet und mit zwei entgegenkommenden Fahrzeugen kollidierte. Die Vorinstanz hat mithin auch aufgrund dieses schwerwiegenden Vorfalls eine positive Prognose zu Recht verneint.</w:t>
      </w:r>
    </w:p>
    <w:p>
      <w:r>
        <w:rPr>
          <w:b/>
        </w:rPr>
        <w:t>E. 4.5</w:t>
      </w:r>
    </w:p>
    <w:p>
      <w:r>
        <w:t>Die Vorinstanz hat schliesslich bei der Verhältnismässigkeitsprüfung auch berücksichtigt, dass der Beschwerdeführer zwischenzeitlich verheiratet sei und seine Frau in Mazedonien lebe. Der Beschwerdeführer macht nicht geltend, diese Sachverhaltsfeststellung sei offensichtlich unrichtig ( Art. 105 Abs. 1 BGG ); er bringt nur vor, dass seine Frau und sein Kind sich jeweils besuchshalber bei ihm in der Schweiz befänden, um dann zwischenzeitlich wieder bei Verwandten in Hamburg zu leben, was aber - selbst wenn es zutrifft - einen Wohnsitz in Mazedonien nicht ausschliesst. Dies spricht umso mehr für die Zumutbarkeit einer Ausreise nach Mazedonien.</w:t>
      </w:r>
    </w:p>
    <w:p>
      <w:r>
        <w:rPr>
          <w:b/>
        </w:rPr>
        <w:t>E. 4.6</w:t>
      </w:r>
    </w:p>
    <w:p>
      <w:r>
        <w:t>Insgesamt ist damit festzustellen, dass der Beschwerdeführer zwar eine gewisse Dauer des Wohlverhaltens vorweisen kann, die Rückfallgefahr aufgrund diverser Umstände (vgl. E. 4.1 bis 4.4 hiervor) jedoch in jüngster Zeit wieder erheblich gestiegen ist. Daran vermag der Umstand, dass er offenbar drogenabstinent lebt und - mit Ausnahme der Abzahlungsvereinbarung gegenüber seinem Opfer (vgl. E. 4.1 hiervor) - seinen finanziellen Verpflichtungen nachkommt, im Ergebnis nichts zu ändern. Damit ist der Schluss der Vorinstanz, aufgrund der Berücksichtigung der aktuellen Situation, müsse eine positive Prognose für den Beschwerdeführer verneint werden, nicht zu beanstanden.</w:t>
      </w:r>
    </w:p>
    <w:p>
      <w:r>
        <w:rPr>
          <w:b/>
        </w:rPr>
        <w:t>E. 5.1</w:t>
      </w:r>
    </w:p>
    <w:p>
      <w:r>
        <w:t>Die Beschwerde erweist sich somit als unbegründet und ist abzuweisen, soweit darauf eingetreten werden kann. Bei diesem Ergebnis besteht auch kein Anlass, dem Eventualantrag (Zurückweisung der Sache an die Vorinstanz zur Neubeurteilung) stattzugeben.</w:t>
      </w:r>
    </w:p>
    <w:p>
      <w:r>
        <w:rPr>
          <w:b/>
        </w:rPr>
        <w:t>E. 5.2</w:t>
      </w:r>
    </w:p>
    <w:p>
      <w:r>
        <w:t>Bei diesem Verfahrensausgang sind die Gerichtskosten dem unterliegenden Beschwerdeführer aufzuerlegen ( Art. 66 Abs. 1 BGG ). Es ist keine Parteientschädigung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