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2C_794/2017 vom 8. Oktober 2018</w:t>
      </w:r>
    </w:p>
    <w:p>
      <w:r>
        <w:t>Bundesgericht, 2018-10-08, DE</w:t>
      </w:r>
    </w:p>
    <w:p>
      <w:r>
        <w:rPr>
          <w:b/>
        </w:rPr>
        <w:t xml:space="preserve">Quelle: </w:t>
      </w:r>
      <w:r>
        <w:t>https://mcp.opencaselaw.ch/entscheid/bger_2C_794_2017</w:t>
      </w:r>
    </w:p>
    <w:p>
      <w:r>
        <w:t>FR: TF 2C_794/2017 du 8 octobre 2018</w:t>
      </w:r>
    </w:p>
    <w:p>
      <w:r>
        <w:t>IT: TF 2C_794/2017 del 8 ottobre 2018</w:t>
      </w:r>
    </w:p>
    <w:p>
      <w:pPr>
        <w:pStyle w:val="Heading2"/>
      </w:pPr>
      <w:r>
        <w:t>Erwägungen</w:t>
      </w:r>
    </w:p>
    <w:p>
      <w:r>
        <w:rPr>
          <w:b/>
        </w:rPr>
        <w:t>E. 1.1</w:t>
      </w:r>
    </w:p>
    <w:p>
      <w:r>
        <w:t>Der Beschwerdeführer hat eine Beschwerde in öffentlich-rechtlichen Angelegenheiten gegen das Kurtaxenreglement der Einwohnergemeinde Bürchen eingereicht.</w:t>
      </w:r>
    </w:p>
    <w:p>
      <w:r>
        <w:rPr>
          <w:b/>
        </w:rPr>
        <w:t>E. 1.2</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w:t>
      </w:r>
    </w:p>
    <w:p>
      <w:r>
        <w:t>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 November 2016 homologiert und diese Beschlüsse in der am 11. November 2016 erschienenen Ausgabe des Amtsblattes veröffentlicht. Die Beschwerde erfolgt somit fristgerecht und ist zulässig, soweit sie sich gegen das kommunale Kurtaxenreglement richtet. Nicht eingetreten werden kann darauf, soweit die Aufhebung des Homologationsbeschlusses beantragt wird, kann doch ein solcher Beschluss nicht vor Bundesgericht angefochten werden (Art. 82</w:t>
      </w:r>
    </w:p>
    <w:p>
      <w:r>
        <w:t>e contrario BGG; Urteil 2C_519/2016 vom 4. September 2017 E. 1.3.1).</w:t>
      </w:r>
    </w:p>
    <w:p>
      <w:r>
        <w:rPr>
          <w:b/>
        </w:rPr>
        <w:t>E. 1.3</w:t>
      </w:r>
    </w:p>
    <w:p>
      <w:r>
        <w:t>Beim Beschwerdeführer handelt es sich um eine Person, die über Grundbesitz in der Einwohnergemeinde Bürchen verfügt, und als Wohnsitzadresse eine Adresse ausserhalb der Gemeinde Bürchen angibt. Auszugehen ist somit davon, dass es sich bei dieser Liegenschaft um eine Ferienwohnung handelt, und der Beschwerdeführer (in Eigennutzung) als übernachtender Gast die Kurtaxe schuldet oder als Beherberger unter subsidiärer Haftung die Kurtaxe einzukassieren hat (Art. 2 Abs. 1 und Abs. 2, Art. 4 Abs. 2 des Kurtaxenreglements), weshalb er durch das angefochtene Kurtaxenreglement betroffen und zur Beschwerdeführung legitimiert ist ( Art. 89 Abs. 1 lit. b BGG ).</w:t>
      </w:r>
    </w:p>
    <w:p>
      <w:r>
        <w:rPr>
          <w:b/>
        </w:rPr>
        <w:t>E. 1.4</w:t>
      </w:r>
    </w:p>
    <w:p>
      <w:r>
        <w:t>Streitgegenstand im vorliegenden Verfahren der abstrakten Normenkontrolle ist einzig die Vereinbarkeit der angefochtenen Bestimmungen mit übergeordnetem Recht ( BGE 143 I 272 E. 2.1 S. 276 ; 142 I 99 E. 1.7.1 S. 106). 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w:t>
      </w:r>
    </w:p>
    <w:p>
      <w:r>
        <w:t>Grundrechten und von</w:t>
      </w:r>
    </w:p>
    <w:p>
      <w:r>
        <w:t>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Der Beschwerdeführer hat die Aufhebung der Art. 3 lit. a</w:t>
      </w:r>
    </w:p>
    <w:p>
      <w:r>
        <w:t>(Abgabebefreiung der Personen mit Wohnsitz in der betreffenden Gemeinde) , Art. 5 Abs. 1 lit. b</w:t>
      </w:r>
    </w:p>
    <w:p>
      <w:r>
        <w:t>(Kurtaxenansatz von Fr. 3.-- bzw. Fr. 4.-- für Ferienwohnungen) sowie Art. 6 Abs. 2 und Abs. 3</w:t>
      </w:r>
    </w:p>
    <w:p>
      <w:r>
        <w:t>(Jahrespauschale der Kurtaxe pro Ferienwohnung, gestützt auf einen durchschnittlichen Belegungsgrad von 49 Tagen) des angefochtenen Kurtaxenreglements der Einwohnergemeinde Bürchen beantragt. Er rügt, die Kurtaxen seien nur als Kostenanlastungssteuer zulässig, weshalb angesichts der Ertragsverwendung für Einrichtungen, zu welchen die Gäste keine nähere Beziehung als Personen mit Wohnsitz aufweisen würden, der Kreis der Abgabepflichtigen nach unhaltbaren und die Rechtsgleichheit verletzenden Kriterien festgesetzt worden sei (Verletzung von Art. 127 Abs. 1 BV bzw. Art. 9 und Art. 8 Abs. 1 BV ). Des Weiteren sei die Erhebung des durchschnittlichen Belegungsgrades, gestützt auf welchen die Jahrespauschale berechnet worden sei, nicht nach den in Art. 21 Abs. 3</w:t>
      </w:r>
    </w:p>
    <w:p>
      <w:r>
        <w:t>bis TG/VS genannten Kriterien, sondern willkürlich erfolgt. Mit der Berechnungsgrundlage für die durchschnittliche Belegung seien nur die Übernachtungen der vermarkteten bzw. der vermieteten Wohnungen berücksichtigt worden, weshalb der für die Berechnung der Jahrespauschale massgebliche Belegungsgrad von 49 Tagen klar zu hoch ausgefallen sei. Zudem sei der Bettenfaktor deswegen falsch erhoben worden und müsse von vier auf drei herabgesetzt werden, weil für die Festsetzung des Bettenfaktors auch die Belegung durch Kinder unter sechs Jahren (die keine Kurtaxe auslösten) und Jugendliche zwischen sechs und 16 Jahren (wofür eine halbe Kurtaxe ausgelöst werde) berücksichtigt worden seien. Im allgemeinen seien die Kurtaxen mit den angefochtenen Reglementen etwa vervierfacht worden, weshalb eine unverhältnismässige und völlig willkürliche Erhöhung (Verletzung von Art. 9 BV ) vorliege, welche in einem krassen Missverhältnis zur kantonalen Grundstücksteuer stehe, was den Verdacht erwecke, die exorbitant hohe neue Kurtaxe sei eine verkappte verdeckte allgemeine Steuer, welche auch weitere kommunale Bedürfnisse finanziere (Verletzung des Prinzips der Kostenanlastungssteuer und somit des Prinzips der Allgemeinheit der Besteuerung gemäss Art. 127 Abs. 2 BV ). Angesichts der exorbitanten Höhe verletze die Kurtaxe auch das interkantonale Doppelbesteuerungsverbot ( Art. 127 Abs. 3 BV ).</w:t>
      </w:r>
    </w:p>
    <w:p>
      <w:r>
        <w:rPr>
          <w:b/>
        </w:rPr>
        <w:t>E. 2.1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w:t>
      </w:r>
    </w:p>
    <w:p>
      <w:r>
        <w:rPr>
          <w:b/>
        </w:rPr>
        <w:t>E. 2.2</w:t>
      </w:r>
    </w:p>
    <w:p>
      <w:r>
        <w:t>Die Einführung einer Kurtaxe in Form einer Kostenanlastungssteuer hält wegen ihrer - durch ihren</w:t>
      </w:r>
    </w:p>
    <w:p>
      <w:r>
        <w:t>Finanzierungszweck vorgegebenen -</w:t>
      </w:r>
    </w:p>
    <w:p>
      <w:r>
        <w:t>Beschränkung auf einen reduzierten abgabepflichtigen Personenkreis vor dem Rechtsgleichheitsgebot nur stand, wenn sie tatsächlich auch</w:t>
      </w:r>
    </w:p>
    <w:p>
      <w:r>
        <w:t>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Entsprechend ist es nach ständiger bundesgerichtlicher Praxis mit der Rechtsgleichheit vereinbar, die Kurtaxe nur von Personen</w:t>
      </w:r>
    </w:p>
    <w:p>
      <w:r>
        <w:t>ohne Wohnsitz in der betreffenden Gemeinde zu erheben, stehen diese Personen doch in einer näheren Beziehung zu den zur Förderung des Fremdenverkehrs getätigten Aufwendungen als die Personen mit Wohnsitz in der Gemeinde ( BGE 93 I 17 E. 5b S. 26, letztmals bestätigt in Urteil 2C_794/2015 vom 22. Februar 2016 E. 3.3.5, E. 4.2.1). Mit der Rechtsgleichheit unvereinbar wäre jedoch etwa, die Kurtaxe ausschliesslich von</w:t>
      </w:r>
    </w:p>
    <w:p>
      <w:r>
        <w:t>ausserkantonalen Ferienhauseigentümern zu erheben, ist doch nicht ersichtlich, weshalb die Gruppe der ausserkantonalen Ferienhauseigentümer in einer näheren Beziehung zu den Aufwendungen für den Fremdenverkehr stehen sollten als die Gruppe der innerkantonalen Ferienhauseigentümer ohne Wohnsitz in der betreffenden Gemeinde (Urteil 2C_794/2015 vom 22. Februar 2016 E. 4.2, E. 4.3).</w:t>
      </w:r>
    </w:p>
    <w:p>
      <w:r>
        <w:rPr>
          <w:b/>
        </w:rPr>
        <w:t>E. 2.3</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w:t>
      </w:r>
    </w:p>
    <w:p>
      <w:r>
        <w:rPr>
          <w:b/>
        </w:rPr>
        <w:t>E. 2.4</w:t>
      </w:r>
    </w:p>
    <w:p>
      <w:r>
        <w:t>Der Beschwerdeführer rügt im Zusammenhang mit der angefochtenen Bestimmung von Art. 3 lit. a des Kurtaxenreglements, die kurtaxenbelasteten Personen ohne Wohnsitz in der Einwohnergemeinde Bürchen würden in keiner näheren Beziehung zum örtlichen Informations- und Reservationsdienst, zur Erstellung und zum Betrieb von Anlagen, welche dem Tourismus, der Kultur oder dem Sport dienten, oder zu Animationen vor Ort stehen, weshalb die Definition des abgabepflichtigen Kreises nach unhaltbaren Kriterien und insbesondere rechtsungleich erfolgt sei. Damit übersieht der Beschwerdeführer, dass die</w:t>
      </w:r>
    </w:p>
    <w:p>
      <w:r>
        <w:t>Zweckgebundenheit der Kurtaxe gemäss ständiger bundesgerichtlicher Praxis danach beurteilt wird, ob sie zur Finanzierung von Anlagen verwendet wird, welche für denselben Ort, wäre er kein Kur- oder Sportort, nicht erstellt worden wären (oben, E. 2.4). Angesichts dessen, dass sowohl der monierte Informations- und Reservationsdienst für touristische Zwecke wie auch die sportlichen, kulturellen oder touristischen Anlagen und Anlässe für Ortseinwohner alleine nicht geschaffen worden wären, stehen die Personen, die in der Einwohnergemeinde Bürchen übernachten, ohne dort Wohnsitz zu haben,</w:t>
      </w:r>
    </w:p>
    <w:p>
      <w:r>
        <w:t>in einer näheren Beziehung zu diesen Einrichtungen als Personen mit Wohnsitz, weshalb der Kreis der Abgabepflichtigen in Art. 2 Abs. 1 des betreffenden Kurtaxenreglements nach</w:t>
      </w:r>
    </w:p>
    <w:p>
      <w:r>
        <w:t>sachlichen Kriterien definiert worden ist und die Abgabenbefreiung von Personen mit Wohnsitz vor dem</w:t>
      </w:r>
    </w:p>
    <w:p>
      <w:r>
        <w:t>Rechtsgleichheitsgebot sowie dem</w:t>
      </w:r>
    </w:p>
    <w:p>
      <w:r>
        <w:t>Prinzip der Allgemeinheit der Besteuerung stand hält. Beweismittel dafür, dass die Kurtaxenerträge entgegen der ausdrücklichen Bestimmung von Art. 2 Abs. 2 TG /VS für weitere kommunale Bedürfnisse verwendet würden, hat der Beschwerdeführer nicht ins Recht gelegt, weshalb darauf nicht weiter einzugehen ist. Insbesondere ist der Umstand, dass die Kurtaxe höher ist als die Grundstückgewinnsteuer, kein Beleg dafür, dass weitere kommunale Bedürfnisse aus der Kurtaxe finanziert werden.</w:t>
      </w:r>
    </w:p>
    <w:p>
      <w:r>
        <w:rPr>
          <w:b/>
        </w:rPr>
        <w:t>E. 3</w:t>
      </w:r>
    </w:p>
    <w:p>
      <w:r>
        <w:t>Zur Begründung des Antrags auf Aufhebung von Art. 5 Abs. 1 lit. b des angefochtenen Kurtaxenreglements macht der Beschwerdeführer einzig geltend, die Kurtaxe solle pro Übernachtung auf Fr. 3.-- bzw. auf Fr. 4.-- erhöht werden, was wegen der krassen Erhöhung gegen das Willkürverbot verstosse. Ein Erlass ist nach der bundesgerichtlichen Praxis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(grundlegend BGE 129 I 1 E. 3 S. 3). Unter Berücksichtigung des weiten Gestaltungsspielraums, welcher dem Gesetzgeber bei der Verfolgung gesetzgebungspolitischer Ziele und der dazu eingesetzten Mittel zukommt (Urteil 2C_519/2016 vom 4. September 2017 E. 3.5.8), hätte der Beschwerdeführer in seiner Beschwerdeschrift in Erfüllung der für die Willkürrüge geltenden qualifizierten Begründungspflicht ( Art. 106 Abs. 2 BGG ) detailliert aufführen müssen, aus welchen Gründen ihrer Ansicht nach eine Kurtaxe von Fr. 3.-- bzw. von Fr. 4.-- vor dem Willkürverbot nicht stand hält. Auf die Rüge ist nicht weiter einzugehen.</w:t>
      </w:r>
    </w:p>
    <w:p>
      <w:r>
        <w:rPr>
          <w:b/>
        </w:rPr>
        <w:t>E. 4.1</w:t>
      </w:r>
    </w:p>
    <w:p>
      <w:r>
        <w:t>Als begründet erweist sich jedoch die Rüge, Art. 6 Abs. 2 und Abs. 3 des angefochtenen Kurtaxenreglements verstosse gegen Art. 21 Abs. 3</w:t>
      </w:r>
    </w:p>
    <w:p>
      <w:r>
        <w:t>bis TG/VS und sei aufzuheben.</w:t>
      </w:r>
    </w:p>
    <w:p>
      <w:r>
        <w:rPr>
          <w:b/>
        </w:rPr>
        <w:t>E. 4.2</w:t>
      </w:r>
    </w:p>
    <w:p>
      <w:r>
        <w:t>Art. 21 TG /VS lautet wie folgt:</w:t>
      </w:r>
    </w:p>
    <w:p>
      <w:r>
        <w:t>1 Die Kurtaxe wird je Übernachtung erhoben.</w:t>
      </w:r>
    </w:p>
    <w:p>
      <w:r>
        <w:t>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w:t>
      </w:r>
    </w:p>
    <w:p>
      <w:r>
        <w:t>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w:t>
      </w:r>
    </w:p>
    <w:p>
      <w:r>
        <w:t>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w:t>
      </w:r>
    </w:p>
    <w:p>
      <w:r>
        <w:t>(...)</w:t>
      </w:r>
    </w:p>
    <w:p>
      <w:r>
        <w:rPr>
          <w:b/>
        </w:rPr>
        <w:t>E. 4.3</w:t>
      </w:r>
    </w:p>
    <w:p>
      <w:r>
        <w:t>Gemäss den im Homologationsverfahren eingereichten Unterlagen wurde die durchschnittliche Belegung für die Einwohnergemeinde Bürchen wie folgt berechnet:</w:t>
      </w:r>
    </w:p>
    <w:p>
      <w:r>
        <w:t>Bürchen</w:t>
      </w:r>
    </w:p>
    <w:p>
      <w:r>
        <w:t>durchschnittliche Belegung</w:t>
      </w:r>
    </w:p>
    <w:p>
      <w:r>
        <w:t>Eigenbedarf</w:t>
      </w:r>
    </w:p>
    <w:p>
      <w:r>
        <w:t>Vermietung</w:t>
      </w:r>
    </w:p>
    <w:p>
      <w:r>
        <w:t>Logiernächte</w:t>
      </w:r>
    </w:p>
    <w:p>
      <w:r>
        <w:t>6206</w:t>
      </w:r>
    </w:p>
    <w:p>
      <w:r>
        <w:t>31165</w:t>
      </w:r>
    </w:p>
    <w:p>
      <w:r>
        <w:t>Übernachtungen mit LN-Pauschale</w:t>
      </w:r>
    </w:p>
    <w:p>
      <w:r>
        <w:t>23325</w:t>
      </w:r>
    </w:p>
    <w:p>
      <w:r>
        <w:t>23325</w:t>
      </w:r>
    </w:p>
    <w:p>
      <w:r>
        <w:t>Total Logiernächte</w:t>
      </w:r>
    </w:p>
    <w:p>
      <w:r>
        <w:t>29531</w:t>
      </w:r>
    </w:p>
    <w:p>
      <w:r>
        <w:t>54490</w:t>
      </w:r>
    </w:p>
    <w:p>
      <w:r>
        <w:t>Anzahl Betten</w:t>
      </w:r>
    </w:p>
    <w:p>
      <w:r>
        <w:t>2318</w:t>
      </w:r>
    </w:p>
    <w:p>
      <w:r>
        <w:t>981</w:t>
      </w:r>
    </w:p>
    <w:p>
      <w:r>
        <w:t>Durchschnittliche Belegung (Tage)</w:t>
      </w:r>
    </w:p>
    <w:p>
      <w:r>
        <w:t>13</w:t>
      </w:r>
    </w:p>
    <w:p>
      <w:r>
        <w:t>56</w:t>
      </w:r>
    </w:p>
    <w:p>
      <w:r>
        <w:t>Abzug von sieben Nächten</w:t>
      </w:r>
    </w:p>
    <w:p>
      <w:r>
        <w:t>-7</w:t>
      </w:r>
    </w:p>
    <w:p>
      <w:r>
        <w:t>Total durchschnittliche Belegung (Tage)</w:t>
      </w:r>
    </w:p>
    <w:p>
      <w:r>
        <w:t>k.A.</w:t>
      </w:r>
    </w:p>
    <w:p>
      <w:r>
        <w:t>49</w:t>
      </w:r>
    </w:p>
    <w:p>
      <w:r>
        <w:rPr>
          <w:b/>
        </w:rPr>
        <w:t>E. 4.3.1</w:t>
      </w:r>
    </w:p>
    <w:p>
      <w:r>
        <w:t>Gemäss der gesetzlichen Vorgabe von Art. 21 Abs. 3</w:t>
      </w:r>
    </w:p>
    <w:p>
      <w:r>
        <w:t>bis TG/VS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In ihrem Mitbericht vom 7. August 2017 hielt die kantonale Dienststelle für Wirtschaftsentwicklung fest, die statistischen Grundlagen für die Berechnung der Eigenbelegung seien nicht sehr aussagekräftig; die effektive Belegung in Form der Eigennutzung könne auch bei bestem Willen nicht zweifelsfrei ermittelt werden. Die Gemeinde Bürchen habe sich aufgrund der unsicheren Datenlage entschieden, für die Berechnung des durchschnittlichen Belegungsgrades die Daten der</w:t>
      </w:r>
    </w:p>
    <w:p>
      <w:r>
        <w:t>vermieteten Ferienwohnungen heranzuziehen, was eine durchschnittliche Auslastung von 56 Nächten ergebe. Von diesem Wert sei im Sinne des Entgegenkommens der Gemeinde noch sieben Tage abgezogen worden, womit ein Durchschnittswert von 49 Nächten festgelegt werde. Dieser Wert erscheine angesichts einer im Jahr 2016 durchgeführten Umfrage des Walliser Observatoriums mit über 1'200 Antworten, wonach die Besitzer im Schnitt über 50 Tage pro Jahr in ihrer Residenz verbringen würden, als nicht unangemessen hoch. Gemäss der mit Eingabe vom 1. Mai 2018 eingereichten Umfrageresultaten des Walliser Tourismus Observatoriums setzt sich die durchschnittliche Belegung in der Gemeinde Bürchen jedoch (in korrigierter Version, vgl. dazu unten, E. 5) wie folgt zusammen:</w:t>
      </w:r>
    </w:p>
    <w:p>
      <w:r>
        <w:t>Bürchen</w:t>
      </w:r>
    </w:p>
    <w:p>
      <w:r>
        <w:t>durchschnittliche Belegung</w:t>
      </w:r>
    </w:p>
    <w:p>
      <w:r>
        <w:t>Eigenbedarf</w:t>
      </w:r>
    </w:p>
    <w:p>
      <w:r>
        <w:t>Vermietung</w:t>
      </w:r>
    </w:p>
    <w:p>
      <w:r>
        <w:t>Total</w:t>
      </w:r>
    </w:p>
    <w:p>
      <w:r>
        <w:t>Logiernächte</w:t>
      </w:r>
    </w:p>
    <w:p>
      <w:r>
        <w:t>6206</w:t>
      </w:r>
    </w:p>
    <w:p>
      <w:r>
        <w:t>31165</w:t>
      </w:r>
    </w:p>
    <w:p>
      <w:r>
        <w:t>37371</w:t>
      </w:r>
    </w:p>
    <w:p>
      <w:r>
        <w:t>Übernachtungen mit LN-Pauschale</w:t>
      </w:r>
    </w:p>
    <w:p>
      <w:r>
        <w:t>21900</w:t>
      </w:r>
    </w:p>
    <w:p>
      <w:r>
        <w:t>21900</w:t>
      </w:r>
    </w:p>
    <w:p>
      <w:r>
        <w:t>43800</w:t>
      </w:r>
    </w:p>
    <w:p>
      <w:r>
        <w:t>Total Logiernächte</w:t>
      </w:r>
    </w:p>
    <w:p>
      <w:r>
        <w:t>28106</w:t>
      </w:r>
    </w:p>
    <w:p>
      <w:r>
        <w:t>53065</w:t>
      </w:r>
    </w:p>
    <w:p>
      <w:r>
        <w:t>81171</w:t>
      </w:r>
    </w:p>
    <w:p>
      <w:r>
        <w:t>Anzahl Betten</w:t>
      </w:r>
    </w:p>
    <w:p>
      <w:r>
        <w:t>2318</w:t>
      </w:r>
    </w:p>
    <w:p>
      <w:r>
        <w:t>981</w:t>
      </w:r>
    </w:p>
    <w:p>
      <w:r>
        <w:t>3299</w:t>
      </w:r>
    </w:p>
    <w:p>
      <w:r>
        <w:t>Durchschnittliche Belegung (Tage)</w:t>
      </w:r>
    </w:p>
    <w:p>
      <w:r>
        <w:t>12</w:t>
      </w:r>
    </w:p>
    <w:p>
      <w:r>
        <w:t>54</w:t>
      </w:r>
    </w:p>
    <w:p>
      <w:r>
        <w:t>25</w:t>
      </w:r>
    </w:p>
    <w:p>
      <w:r>
        <w:rPr>
          <w:b/>
        </w:rPr>
        <w:t>E. 4.3.2</w:t>
      </w:r>
    </w:p>
    <w:p>
      <w:r>
        <w:t>Das Bundesgericht hat im Urteil 2C_519/2016 vom 4. September 2017 zum Kurtaxenreglement Leukerbad erwogen, ein Abstellen auf die durchschnittliche Frequenz der</w:t>
      </w:r>
    </w:p>
    <w:p>
      <w:r>
        <w:t>vermieteten Wohnungen allein als Berechnungsgrundlage der Jahrespauschale sei angesichts dessen, dass diese Zahl weit über dem (sämtliche Varianten der Beherbergungsform berücksichtigenden)</w:t>
      </w:r>
    </w:p>
    <w:p>
      <w:r>
        <w:t>Total der durchschnittlichen Auslastung liege, mit Art. 21 TG /VS nicht vereinbar; die der Berechnung der Jahrespauschale zu Grunde gelegte Zahl von 60 Übernachtungen sei nicht nachgewiesen, weshalb sich das Kriterium als willkürlich erweise und gegen Art. 21 Abs. 3</w:t>
      </w:r>
    </w:p>
    <w:p>
      <w:r>
        <w:t>bis TG/VS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4.4</w:t>
      </w:r>
    </w:p>
    <w:p>
      <w:r>
        <w:t>Die Einwohnergemeinde Bürchen hat in Art. 6 Abs. 2 und Abs. 3 des angefochtenen Kurtaxenreglements ebenfalls auf die durchschnittliche Belegung der</w:t>
      </w:r>
    </w:p>
    <w:p>
      <w:r>
        <w:t>vermieteten Wohnungen alleine abgestellt und</w:t>
      </w:r>
    </w:p>
    <w:p>
      <w:r>
        <w:t>die übrigen Beherbergungsformen nicht berücksichtigt . Von dieser als massgeblich erklärten durchschnittlichen Auslastung der vermieteten Wohnungen hat sie jedoch nicht noch einen Zuschlag für angeblich zu Unrecht nicht deklarierte "Dunkelziffern" erhoben, sondern im Sinne eines Entgegenkommens einen Wert von sieben Nächten in Abzug gebracht. Der als Ergebnis dieser Berechnung verwendete Durchschnittswert von 49 Nächten ist demnach tiefer als derjenige anderer Gemeinden. Er liegt dennoch so weit über dem statistisch belegten,</w:t>
      </w:r>
    </w:p>
    <w:p>
      <w:r>
        <w:t>auf dem Eigenbedarf und der Vermietung basierenden Durchschnittswert von 25 Nächten, dass eine mit Art. 21 Abs. 3</w:t>
      </w:r>
    </w:p>
    <w:p>
      <w:r>
        <w:t>bis TG/VS konforme Auslegung nicht möglich ist. Die Beschwerde ist in diesem Punkt begründet und Art. 6 Abs. 2 und Abs. 3 des Kurtaxenreglements der Gemeinde Bürchen sind aufzuheben. Um die Kurtaxen weiterhin zu erheben, kann die zuständige Gemeindeversammlung einstweilen einen sich darauf beziehenden Durchschnitt beschliessen; mit Blick auf die Dunkelziffer dürfte eine massvolle Aufrundung allenfalls noch haltbar sein (vgl. oben, E. 4.3.2). Soweit weitergehend verlangt Art. 21 Abs. 3</w:t>
      </w:r>
    </w:p>
    <w:p>
      <w:r>
        <w:t>bis TG/VS einen detaillierten und transparenten Berechnungsnachweis.</w:t>
      </w:r>
    </w:p>
    <w:p>
      <w:r>
        <w:rPr>
          <w:b/>
        </w:rPr>
        <w:t>E. 5</w:t>
      </w:r>
    </w:p>
    <w:p>
      <w:r>
        <w:t>Hinsichtlich des</w:t>
      </w:r>
    </w:p>
    <w:p>
      <w:r>
        <w:t>Bettenfaktors geht aus der von der Einwohnergemeinde Bürchen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In dem mit Replik eingereichten Umfrageresultat des Walliser Tourismus Observatoriums wurde hingegen eine um einen Berechnungsfehler bei der Berücksichtigung von Jugendlichen korrigierte Version eingereicht. Diese Sachverhaltsdarstellung wurde gemäss der Aktenlage weder vom kantonalen Amt für Wirtschaftsentwicklung noch vom Beschwerdeführer substantiiert bestritten, weshalb im vorliegenden Verfahren darauf abzustellen ist. Angesichts dessen, dass sich der Berechnungsfehler nicht auf den statistisch untermauerten und als zulässig erachteten Durchschnittswert von 25 Tagen (vgl. oben, E. 4.4) auswirkt, lässt sich der dem angefochtenen Kurtaxenreglement zu Grunde liegende Bettenfaktor gesetzeskonform auslegen. Die erhobene Rüge, der Bettenfaktor sei wegen der Berücksichtigung von Übernachtungen von Personen, welche keine oder eine halbe Kurtaxe auslösten, falsch berechnet worden, erweist sich somit als unbegründet.</w:t>
      </w:r>
    </w:p>
    <w:p>
      <w:r>
        <w:rPr>
          <w:b/>
        </w:rPr>
        <w:t>E. 6.1</w:t>
      </w:r>
    </w:p>
    <w:p>
      <w:r>
        <w:t>Der Beschwerdeführer rügt,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w:t>
      </w:r>
    </w:p>
    <w:p>
      <w:r>
        <w:t>von zwei oder mehreren Kantonen für das</w:t>
      </w:r>
    </w:p>
    <w:p>
      <w:r>
        <w:t>gleiche Steuerobjekt und für die</w:t>
      </w:r>
    </w:p>
    <w:p>
      <w:r>
        <w:t>gleiche Zeit zu Steuern herangezogen wird (aktuelle Doppelbesteuerung) oder wenn ein Kanton in Verletzung der geltenden Kollisionsnormen seine</w:t>
      </w:r>
    </w:p>
    <w:p>
      <w:r>
        <w:t>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Gemeinde Bürchen als zulässig erachteten Jahrespauschalen (vgl. oben, E. 4.4)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hat der Beschwerdeführer in seiner Beschwerdeschrift nicht gerügt, weshalb auf diesen Aspekt des Doppelbesteuerungsverbots nicht weiter einzugehen ist ( Art. 106 Abs. 2 BGG ).</w:t>
      </w:r>
    </w:p>
    <w:p>
      <w:r>
        <w:rPr>
          <w:b/>
        </w:rPr>
        <w:t>E. 7</w:t>
      </w:r>
    </w:p>
    <w:p>
      <w:r>
        <w:t>Bei diesem Verfahrensausgang dringen der Beschwerdeführer und die in ihren Vermögensinteressen betroffene Einwohnergemeinde Bürchen mit ihren Anträgen je rund zur Hälfte durch, weshalb sie anteilsmässig kostenpflichtig werden ( Art. 66 Abs. 1 und 4 BGG ). Die Gemeinde Bürchen hat dem anwaltlich vertretenen Beschwerdeführer für das bundesgerichtliche Verfahren eine reduzierte Parteientschädigung auszurichten ( Art. 68 Abs. 1 und Abs. 2 BGG ). Da sie in ihrem amtlichen Wirkungskreis handelt, steht ihr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