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2C_794/2013 vom 2. Mai 2014</w:t>
      </w:r>
    </w:p>
    <w:p>
      <w:r>
        <w:t>Bundesgericht, 2014-05-02, DE</w:t>
      </w:r>
    </w:p>
    <w:p>
      <w:r>
        <w:rPr>
          <w:b/>
        </w:rPr>
        <w:t xml:space="preserve">Quelle: </w:t>
      </w:r>
      <w:r>
        <w:t>https://mcp.opencaselaw.ch/entscheid/bger_2C_794_2013</w:t>
      </w:r>
    </w:p>
    <w:p>
      <w:r>
        <w:t>FR: TF 2C_794/2013 du 2 mai 2014</w:t>
      </w:r>
    </w:p>
    <w:p>
      <w:r>
        <w:t>IT: TF 2C_794/2013 del 2 maggio 2014</w:t>
      </w:r>
    </w:p>
    <w:p>
      <w:pPr>
        <w:pStyle w:val="Heading2"/>
      </w:pPr>
      <w:r>
        <w:t>Erwägungen</w:t>
      </w:r>
    </w:p>
    <w:p>
      <w:r>
        <w:rPr>
          <w:b/>
        </w:rPr>
        <w:t>E. 1.1</w:t>
      </w:r>
    </w:p>
    <w:p>
      <w:r>
        <w:t>Beim angefochtenen Urteil handelt es sich um einen kantonal letztinstanzlichen Steuerdomizilentscheid, d.h. um eine Angelegenheit des öffentlichen Rechts, die unter keinen Ausschlussgrund gemäss Art. 83 BGG fällt und gegen welche die Beschwerde in öffentlich-rechtlichen Angelegenheiten zulässig ist (vgl. Art. 82 lit. a i.V.m. Art. 86 Abs. 1 lit. d BGG ). Der Beschwerdeführer ist gestützt auf Art. 89 Abs. 1 BGG beschwerdebefugt. Auf die im Übrigen form- und fristgerecht eingereichte Beschwerde ist daher grundsätzlich einzutreten ( Art. 42 und 100 BGG ).</w:t>
      </w:r>
    </w:p>
    <w:p>
      <w:r>
        <w:rPr>
          <w:b/>
        </w:rPr>
        <w:t>E. 1.2</w:t>
      </w:r>
    </w:p>
    <w:p>
      <w:r>
        <w:t>Bei Beschwerden wegen interkantonaler Kompetenzkonflikte beginnt die Beschwerdefrist spätestens dann zu laufen, wenn in beiden Kantonen Entscheide getroffen worden sind, gegen welche beim Bundesgericht Beschwerde geführt werden kann ( Art. 86 Abs. 1 lit. d und Art. 100 Abs. 5 BGG ; BGE 133 I 300 ). Dabei kann auch ein bereits ergangener Entscheid eines konkurrierenden Kantons angefochten werden. Praxisgemäss ist in diesen Fällen jeder Hoheitsakt anfechtbar, mit dem ein Kanton die Steuerhoheit in Anspruch nimmt, also etwa auch ein blosser Einschätzungsvorschlag (Urteil 2C_243/2011 vom 1. März 2013 E. 3.1 mit Hinweisen, nicht publ. in: BGE 139 II 373 ; Urteil vom 9. Juni 1970 E. 1, in: ASA 40 S. 403; LOCHER/LOCHER, Die Praxis der Bundessteuern, III. Teil, Interkantonale Doppelbesteuerung, § 12, III A, 2 Nr. 8 und 24). Erforderlich ist grundsätzlich eine ausdrückliche Willensäusserung der Steuerbehörde, welche die Voraussetzungen einer subjektiven Steuerpflicht in einem konkreten Fall als erfüllt erachtet ( PETER LOCHER, Die Staatsrechtliche Beschwerde wegen Verletzung von Art. 46 Abs. 2 BV , ZBl 1990 S. 97 ff., 103 f.). Die vorliegende provisorische Steuerrechnung stellt eine solche Willensäusserung dar, zumal sie nach kantonalem Recht als anfechtbarer Rechtsakt ergeht (Art. 246 Abs. 4 des Steuergesetzes des Kantons Obwalden vom 30. Oktober 1994 [GDB 641.4; nachfolgend StG/OW]) und der Kanton Obwalden in der Vernehmlassung am Steueranspruch festhält (vgl. Urteil 2P.317/2004 vom 11. Oktober 2005 E. 4; offengelassen in Urteil 2P.40/1997 vom 11. Mai 1998 E. 3b).</w:t>
      </w:r>
    </w:p>
    <w:p>
      <w:r>
        <w:rPr>
          <w:b/>
        </w:rPr>
        <w:t>E. 1.3</w:t>
      </w:r>
    </w:p>
    <w:p>
      <w:r>
        <w:t>Mit der Beschwerde können Rechtsverletzungen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139 I 229 E. 2.2 S. 232; 138 V 74 E. 2 S. 76 f. ; 138 I 367 E. 5.2 S. 373, 274 E. 1.6 S. 280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w:t>
      </w:r>
    </w:p>
    <w:p>
      <w:r>
        <w:t>Inwiefern die Beweiswürdigung willkürlich sein soll, ist in der Beschwerde klar und detailliert aufzuzeigen ( Art. 42 Abs. 2 und Art. 106 Abs. 2 BGG ; BGE 134 II 244 E. 2.2 S. 246 mit Hinweisen). Namentlich genügt es nicht, einzelne Beweise anzuführen, die anders als im angefochtenen Entscheid gewichtet werden sollen, und dem Bundesgericht in appellatorischer Kritik die eigene Auffassung zu unterbreiten, als ob diesem eine freie Sachverhaltsprüfung zukäme (vgl. BGE 136 II 101 E. 3 S. 104 f.; 116 Ia 85 E. 2b S. 88).</w:t>
      </w:r>
    </w:p>
    <w:p>
      <w:r>
        <w:rPr>
          <w:b/>
        </w:rPr>
        <w:t>E. 2</w:t>
      </w:r>
    </w:p>
    <w:p>
      <w:r>
        <w:t>Nicht durchzudringen vermag die Rüge, die Vorinstanz habe den Anspruch auf rechtliches Gehör ( Art. 29 Abs. 2 BV ) verletzt, indem sie auf eine Anhörung der angerufenen Zeugen verzichtet habe. Dem Anspruch auf rechtliches Gehör lässt sich keine allgemeine Pflicht zur Abnahme aller angebotenen Beweise entnehmen. Die Abweisung eines Beweisantrags erweist sich namentlich als zulässig, falls sich das Gericht seine Meinung aufgrund zuvor erhobener Beweise bereits bilden konnte und ohne Willkür in vorweggenommener (antizipierter) Beweiswürdigung annehmen darf, die gewonnene Überzeugung werde durch weitere Beweiserhebungen nicht erschüttert ( BGE 136 I 229 E. 5.3 S. 236 f. ; 134 I 140 E. 5.3 S. 148 ; 131 I 153 E. 3 S. 157; Urteil 2C_672/2010 vom 30. Juni 2011 E. 4.4.4). Entgegen dem Beschwerdeführer hat die Vorinstanz seine Beweisanträge nicht "mit Stillschweigen übergangen", sondern ausdrücklich festgehalten, dass sich eine Befragung der angerufenen Zeugen erübrige. Es sei unbestritten, dass sich der Beschwerdeführer für die gemeinsame Ausübung von Sportaktivitäten in V.________ aufgehalten habe. Inwiefern die Vorinstanz damit den Gehörsanspruch verletzt haben soll, legt der Beschwerdeführer nicht rechtsgenügend dar ( Art. 106 Abs. 2 BGG ).</w:t>
      </w:r>
    </w:p>
    <w:p>
      <w:r>
        <w:rPr>
          <w:b/>
        </w:rPr>
        <w:t>E. 3.1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w:t>
      </w:r>
    </w:p>
    <w:p>
      <w:r>
        <w:t>Ein solcher Kompetenzkonflikt liegt hier vor, da sowohl der Kanton Aargau wie auch der Kanton Obwalden eine unbeschränkte Steuerpflicht des Beschwerdeführers mit Bezug auf die Kantonssteuern 2009 geltend machen.</w:t>
      </w:r>
    </w:p>
    <w:p>
      <w:r>
        <w:rPr>
          <w:b/>
        </w:rPr>
        <w:t>E. 3.2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 16 Abs. 2 des Steuergesetzes des Kantons Aargau vom 15. Dezember 1998 [SAR 651.100; nachfolgend StG/AG], Art. 3 Abs. 2 DBG [SR 642.11] und Art. 23 Abs. 1 ZGB ) bzw. wo sich faktisch der Mittelpunkt ihrer Lebensinteressen befindet (vgl. BGE 138 II 300 E. 3.2 S. 305 f. ; 132 I 29 E. 4.1 S. 35 f. ;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Die Frage, zu welchem der Aufenthaltsorte die steuerpflichtige Person die stärkeren Beziehungen unterhält, ist jeweils aufgrund der Gesamtheit der Umstände des Einzelfalls zu beurteilen ( BGE 132 I 29 E. 4.2 S. 36 f. mit Hinweisen).</w:t>
      </w:r>
    </w:p>
    <w:p>
      <w:r>
        <w:rPr>
          <w:b/>
        </w:rPr>
        <w:t>E. 3.3</w:t>
      </w:r>
    </w:p>
    <w:p>
      <w:r>
        <w:t>Wenn sich eine Person abwechslungsweise an zwei Orten aufhält, ist für die Bestimmung des steuerrechtlichen Wohnsitzes darauf abzustellen, zu welchem Ort sie die stärkeren Beziehungen unterhält. Bei Unselbständigerwerbenden ist das gewöhnlich der Ort, wo sie für längere oder unbestimmte Zeit Aufenthalt nehmen, um von dort aus der täglichen Arbeit nachzugehen ( BGE 125 I 54 E. 2b S. 56). Dabei ist bei alleinstehenden Personen vermehrt noch als bei verheirateten Personen zu berücksichtigen, ob weitere als nur familiäre Beziehungen zum einen oder anderen Ort ein Übergewicht begründen. Die Beziehung zum Arbeitsort kann namentlich dann überwiegen, wenn sich die steuerpflichtige Person am Arbeitsort eine Wohnung eingerichtet hat oder über einen besonderen Freundes- und Bekanntenkreis verfügt. Besonderes Gewicht haben in diesem Zusammenhang auch die Dauer des Arbeitsverhältnisses und das Alter der steuerpflichtigen Person ( BGE 125 I 54 E. 2b/bb S. 57; Urteile 2C_854/2013 vom 12. Februar 2014 E. 5.1; 2C_518/2011 vom 1. Februar 2012 E. 2.1; 2C_397/2010 vom 6. Dezember 2010 E. 2.2, in: StE 2011 A 24.21 Nr. 22; je mit Hinweisen).</w:t>
      </w:r>
    </w:p>
    <w:p>
      <w:r>
        <w:rPr>
          <w:b/>
        </w:rPr>
        <w:t>E. 3.4</w:t>
      </w:r>
    </w:p>
    <w:p>
      <w:r>
        <w:t>Bei einer Verlegung des steuerrechtlichen Wohnsitzes innerhalb der Schweiz ist zu beachten, dass im interkantonalen Verhältnis - anders als bei internationalen Sachverhalten (vgl. dazu BGE 138 II 300 E. 3.3 S. 306) - Art. 24 Abs. 1 ZGB nicht greift, wonach der einmal begründete Wohnsitz einer Person bis zum Erwerb eines neuen Wohnsitzes bestehen bleibt (Urteile 2C_827/2008 vom 16. Juni 2009 E. 3.2; 2P.5/2007 vom 22. Februar 2008 E. 2.2.1, in: StE 2009 A 24.22 Nr. 6; 2A.475/2003 vom 26. Juli 2004 E. 2.1 und 2.2, in: RDAF 2005 II S. 103; LOCHER/LOCHER, a.a.O., § 3, I A, 2c Nr. 1-5). Hat die steuerpflichtige Person die Verbindungen zu ihrem bisherigen Wohnsitz gelöst, so ist sie dort nicht mehr steuerpflichtig ( LOCHER/LOCHER, a.a.O., § 3, I A, 1 Nr. 14). Dabei genügt zur Begründung des neuen Wohnsitzes nicht der Wille zur Wohnsitzverlegung; er muss vielmehr in die Tat umgesetzt worden sein, d.h. die steuerpflichtige Person muss für die betreffende Zeit den Mittelpunkt ihrer Lebensführung schon an den neuen Ort verlegt haben (vgl. BGE 108 Ia 252 E. 3b S. 254; Urteil 2P.5/2007 vom 22. Februar 2008 E. 2.2.1 mit Hinweisen, in: StE 2009 A 24.22 Nr. 6).</w:t>
      </w:r>
    </w:p>
    <w:p>
      <w:r>
        <w:t>Davon zu unterscheiden ist die beweisrechtliche Frage, ob der Nachweis der Wohnsitzverlegung erbracht worden ist (vgl. zum Ganzen Urteil 2C_1267/2012 vom 1. Juli 2013 E. 3.4, in: StE 2013 B 11.1 Nr. 25). Grundsätzlich ist die subjektive Steuerpflicht als steuerbegründende Tatsache von der Steuerbehörde nachzuweisen (Urteil 2C_92/2012 vom 17. August 2012 E. 4.3 mit Hinweisen, in: StE 2013 A 24.21 Nr. 24). Der steuerpflichtigen Person kann jedoch auch im interkantonalen Verhältnis der Beweis für die von ihr behauptete subjektive Steuerpflicht an einem neuen Ort auferlegt werden, sofern die von der Steuerbehörde angenommene bisherige subjektive Steuerpflicht in der strittigen Steuerperiode als sehr wahrscheinlich erscheint (Urteile 2C_672/2010 vom 30. Juni 2011 E. 4.2; 2C_625/2009 vom 16. Februar 2010 E. 3.2; 2C_827/2008 vom 16. Juni 2009 E. 4.1; ASA 39 S. 284 E. 3c S. 288; LOCHER/LOCHER, a.a.O., § 3, I A, 1 Nr. 29). Wird der Nachweis der Wohnsitzverlegung nicht erbracht, ist das bisherige Domizil als fortbestehend zu betrachten (vgl. Urteile 2C_827/2008 vom 16. Juni 2009 E. 3.2; 2P.5/2007 vom 22. Februar 2008 E. 2.2.1, in: StE 2009 A 24.22 Nr. 6; 2P.186/2004 vom 15. Februar 2005 E. 2.3; LOCHER/LOCHER, a.a.O., § 3, IA, 2b Nr. 4).</w:t>
      </w:r>
    </w:p>
    <w:p>
      <w:r>
        <w:rPr>
          <w:b/>
        </w:rPr>
        <w:t>E. 3.5</w:t>
      </w:r>
    </w:p>
    <w:p>
      <w:r>
        <w:t>Der Beschwerdeführer hatte in den Jahren 1992 bis 2007 seinen steuerrechtlichen Wohnsitz unstrittig in U.________/AG. Nach der Trennung von seiner Ehefrau meldete er sich polizeilich in W.________/AG an, wo er eine 3.5-Zimmer-Wohnung mietete, die er selbst möblierte. In W.________ reichte der Beschwerdeführer die Steuererklärung 2008 vorbehaltlos ein und wurde in der Folge unangefochten veranlagt. Die Gemeinde liegt ca. 17 Kilometer vom Arbeitsort entfernt. Angesichts dieser objektiven, äusseren Umstände durfte die Vorinstanz ohne Rechtsverletzung darauf schliessen, dass der Beschwerdeführer per 1. Januar 2008 in W.________ Wohnsitz nahm. Der Beschwerdeführer hat sich bei seinem gegen aussen wahrnehmbaren Verhalten behaften zu lassen. Dabei scheint er zu übersehen, dass die Absicht dauernden Verbleibens nicht voraussetzt, dass die steuerpflichtige Person für immer oder doch für unbestimmte Zeit an einem Ort verbleibt. Es genügt, den Aufenthaltsort bis auf Weiteres zum Mittelpunkt der Lebensverhältnisse zu machen (vgl. Urteil 2A.350/1990 vom 15. März 1991 E. 2b, in: ASA 60 S. 499; Zweifel/ Hunziker, in: Kommentar zum Schweizerischen Steuerrecht, Interkantonales Steuerrecht, 2011, § 6 Rz. 21 mit Hinweisen). Es hindert daher die Wohnsitznahme nicht, dass der Beschwerdeführer nach dem Auszug aus der ehelichen Wohnung nicht wusste, ob er auf unbestimmte Zeit in W.________ verbleiben werde.</w:t>
      </w:r>
    </w:p>
    <w:p>
      <w:r>
        <w:rPr>
          <w:b/>
        </w:rPr>
        <w:t>E. 3.6</w:t>
      </w:r>
    </w:p>
    <w:p>
      <w:r>
        <w:t>Bei dieser Ausgangslage ist es Sache des Beschwerdeführers nachzuweisen, dass im Jahr 2009 eine Wohnsitzverlegung nach V.________/OW stattgefunden hat. Gemäss vorinstanzlicher Feststellung deponierte der Beschwerdeführer im Herbst 2009 die Schriften in V.________. Weitere objektive Veränderungen sind für die Steuerperiode 2009 nicht erstellt. So vermochte der Beschwerdeführer weder eine Veränderung der Arbeits- und Wohnsituation noch eine wesentliche Zunahme seiner Aufenthalte in V.________ und/oder seiner Kontakte zu Familie und Freunden nachzuweisen. Über die eingeforderten Kredit- und Bankkartenabrechnungen liessen sich über das ganze Jahr betrachtet nur zwölf Bezüge in V.________ nachweisen. Aus den Euro-Bargeldbezügen am Freitag und an Wochenenden schloss die Vorinstanz, dass sich der Beschwerdeführer neben seinen Geschäftsreisen auch aus privaten Gründen an diversen Wochenenden des Jahres 2009 im Ausland aufgehalten hatte. Besondere familiäre Umstände - etwa eine intensive Betreuung der betagten Eltern (vgl. dazu Urteil 2C_854/2013 vom 12. Februar 2014 E. 5.3 mit Hinweisen) - sind nicht erstellt. Unbestritten ist, dass der Beschwerdeführer Freunde und Bekannte in V.________ hat, wo er namentlich eine rege Skisporttätigkeit ausübt. Dabei ist jedoch zu beachten, dass eine gewisse Verbundenheit in familiärer und gesellschaftlicher Hinsicht zum Herkunfts- bzw. Wochenendort durchaus üblich ist (vgl. z.B. Urteil 2C_178/2011 vom 2. November 2011 E. 3.4, in: StE 2012 A 24.21 Nr. 23).</w:t>
      </w:r>
    </w:p>
    <w:p>
      <w:r>
        <w:rPr>
          <w:b/>
        </w:rPr>
        <w:t>E. 3.7</w:t>
      </w:r>
    </w:p>
    <w:p>
      <w:r>
        <w:t>Angesichts dieser Umstände durfte die Vorinstanz willkürfrei und ohne Verletzung der Grundsätze zur Beweisführung schliessen, dass der Beschwerdeführer den Nachweis der Wohnsitzverlegung nicht zu erbringen vermochte und daher in der Steuerperiode 2009 sein Steuerdomizil in W.________ hatte. Die Beschwerde erweist sich damit im Hauptantrag als unbegründet und ist abzuweisen. Dagegen ist der Eventualantrag begründet, die Beschwerde gegenüber dem Kanton Obwalden gutzuheissen und die angefochtene provisorische Steuerrechnung aufzuheben.</w:t>
      </w:r>
    </w:p>
    <w:p>
      <w:r>
        <w:rPr>
          <w:b/>
        </w:rPr>
        <w:t>E. 4</w:t>
      </w:r>
    </w:p>
    <w:p>
      <w:r>
        <w:t>Entsprechend dem Verfahrensausgang sind die Kosten des bundesgerichtlichen Verfahrens dem Beschwerdeführer aufzuerlegen (Art. 65 f. BGG). Dieser obsiegt zwar insoweit, als der Kompetenzkonflikt zwischen den Kantonen Aargau und Obwalden beseitigt wird. Mit seinem Hauptbegehren, im Kanton Obwalden besteuert zu werden, vermag er jedoch nicht durchzudringen. Das Unterliegen in diesem Punkt kann bei der Verlegung der Kosten in den Vordergrund gestellt werden. Dass der konkurrierende Hoheitsakt aufgehoben werden muss, darf bei der Kostenverlegung ausser Acht gelassen werden. Aus demselben Grund kann auch von der Zusprechung einer Parteientschädigung abgesehen werden (vgl. Art. 68 Abs. 1 BGG ; Urteile 2C_785/2011 vom 1. März 2012 E. 4.2; 2C_892/2008 vom 2. Dezember 2009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