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2C_78/2026 vom 4. Februar 2026</w:t>
      </w:r>
    </w:p>
    <w:p>
      <w:r>
        <w:t>Bundesgericht, 2026-02-04, DE</w:t>
      </w:r>
    </w:p>
    <w:p>
      <w:r>
        <w:rPr>
          <w:b/>
        </w:rPr>
        <w:t xml:space="preserve">Quelle: </w:t>
      </w:r>
      <w:r>
        <w:t>https://mcp.opencaselaw.ch/entscheid/bger_2C_78_2026</w:t>
      </w:r>
    </w:p>
    <w:p>
      <w:r>
        <w:t>FR: TF 2C_78/2026 du 4 février 2026</w:t>
      </w:r>
    </w:p>
    <w:p>
      <w:r>
        <w:t>IT: TF 2C_78/2026 del 4 febbraio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Verfügung vom 11. November 2025 verhängte das Staatssekretariat für Migration (SEM) gegen A.________ ein vierjähriges Einreiseverbot, welches für die Schweiz, das Fürstentum Liechtenstein und den gesamten Schengen-Raum gilt.</w:t>
      </w:r>
    </w:p>
    <w:p>
      <w:r>
        <w:t>Dagegen erhob A.________ mit Eingabe vom 9. Dezember 2025 Beschwerde an das Bundesverwaltungsgericht und ersuchte in prozessualer Hinsicht unter anderem um Gewährung der unentgeltlichen Rechtspflege und Beiordnung eines unentgeltlichen Rechtsvertreters.</w:t>
      </w:r>
    </w:p>
    <w:p>
      <w:r>
        <w:rPr>
          <w:b/>
        </w:rPr>
        <w:t>E. 1.2</w:t>
      </w:r>
    </w:p>
    <w:p>
      <w:r>
        <w:t>Mit Zwischenverfügung vom 18. Dezember 2025 wies das Bundesverwaltungsgericht, Abteilung VI, das Gesuch um Gewährung der unentgeltlichen Rechtspflege inklusive Beiordnung eines unentgeltlichen Rechtsvertreters ab (Dispositiv-Ziff. 1) und forderte A.________ - unter Androhung des Nichteintretens - bis zum 2. Februar 2026 einen Kostenvorschuss von Fr. 900.-- zu bezahlen (Dispositiv-Ziff. 2 und 3).</w:t>
      </w:r>
    </w:p>
    <w:p>
      <w:r>
        <w:rPr>
          <w:b/>
        </w:rPr>
        <w:t>E. 1.3</w:t>
      </w:r>
    </w:p>
    <w:p>
      <w:r>
        <w:t>Mit Eingabe vom 2. Februar 2026 erhebt A.________ Beschwerde in öffentlich-rechtlichen Angelegenheiten, eventuell subsidiäre Verfassungsbeschwerde, an das Bundesgericht und beantragt, es seien Dispositiv-Ziff. 1-3 der Zwischenverfügung vom 18. Dezember 2025 aufzuheben und es sei ihm für das vorinstanzliche Verfahren die unentgeltliche Rechtspflege zu gewähren und ein unentgeltlicher Rechtsvertreter beizuordnen. Eventuell seien Dispositiv-Ziff. 1-3 der Zwischenverfügung vom 18. Dezember 2025 aufzuheben und es sei die Sache zur Neubeurteilung an die Vorinstanz zurückzuweisen. Zudem ersucht er um unentgeltliche Rechtspflege und Verbeiständung für das bundesgerichtliche Verfahren.</w:t>
      </w:r>
    </w:p>
    <w:p>
      <w:r>
        <w:t>Es wurden keine Instruktionsmassnahmen angeordnet.</w:t>
      </w:r>
    </w:p>
    <w:p>
      <w:r>
        <w:rPr>
          <w:b/>
        </w:rPr>
        <w:t>E. 2</w:t>
      </w:r>
    </w:p>
    <w:p>
      <w:r>
        <w:t>Das Bundesgericht prüft seine Zuständigkeit und die weiteren Eintretensvoraussetzungen von Amtes wegen und mit freier Kognition ( Art. 29 Abs. 1 BGG ; BGE 150 II 346 E. 1.1).</w:t>
      </w:r>
    </w:p>
    <w:p>
      <w:r>
        <w:rPr>
          <w:b/>
        </w:rPr>
        <w:t>E. 2.1</w:t>
      </w:r>
    </w:p>
    <w:p>
      <w:r>
        <w:t>Die Beschwerde richtet sich gegen einen selbständig eröffneten Zwischenentscheid des Bundesverwaltungsgerichts ( Art. 86 Abs. 1 lit. a BGG ) über die Gewährung der unentgeltlichen Rechtspflege und Verbeiständung ( Art. 93 Abs. 1 BGG ). Nach dem Grundsatz der Einheit des Verfahrens (vgl. BGE 143 II 425 E. 1.3; 138 II 501 E. 1.1; 134 V 138 E. 3) folgt der Rechtsweg bei Zwischenentscheiden demjenigen der Hauptsache (vgl. BGE 147 III 451 E. 1.3; 137 III 380 E. 1.1; Urteile 2C_517/2024 vom 24. Oktober 2024 E. 3.1; 2C_694/2023 vom 24. Januar 2024 E. 1.1). Ist die Zulässigkeit eines Rechtsmittels zweifelhaft, umfasst die Begründungspflicht gemäss Art. 42 Abs. 2 BGG grundsätzlich auch die Eintretensvoraussetzungen (vgl. BGE 134 II 45 E. 2.2.3; 133 II 249 E. 1.1; Urteil 2C_682/2021 vom 3. November 2021 E. 1.1).</w:t>
      </w:r>
    </w:p>
    <w:p>
      <w:r>
        <w:rPr>
          <w:b/>
        </w:rPr>
        <w:t>E. 2.2</w:t>
      </w:r>
    </w:p>
    <w:p>
      <w:r>
        <w:t>Materiellrechtlicher Streitgegenstand in der Hauptsache ist das gegen den Beschwerdeführer verfügte Einreiseverbot.</w:t>
      </w:r>
    </w:p>
    <w:p>
      <w:r>
        <w:t>Nach Art. 83 lit. c Ziff. 1 BGG ist die Beschwerde in öffentlich-rechtlichen Angelegenheiten unzulässig gegen Entscheide auf dem Gebiet des Ausländerrechts betreffend die Einreise. Dies gilt grundsätzlich auch für Entscheide betreffend ein Einreiseverbot (Urteile 2C_206/2025 vom 3. Dezember 2025 E. 1 mit Hinweisen; 2C_115/2025 vom 20. August 2025 E. 1.2.1; 2C_172/2023 vom 5. April 2023 E. 3.1; 2C_1020/2019 vom 31. März 2020 E. 1.2). Die unter das FZA (SR 0.142.112.681) fallenden Personen haben jedoch gestützt auf Art. 11 Abs. 1 und 3 FZA Anspruch auf zwei Beschwerdeinstanzen, so dass trotz Art. 83 lit. c Ziff. 1 BGG die Beschwerde in öffentlich-rechtlichen Angelegenheiten an das Bundesgericht für diese Personen zulässig ist ( BGE 139 II 121 , nicht publ. E. 1.1; 131 II 352 E. 1; Urteile 2C_115/2025 vom 20. August 2025 E. 1.2.1; 2C_261/2025 vom 23. Mai 2025 E. 2.4; 2C_1020/2019 vom 31. März 2020 E. 1.3).</w:t>
      </w:r>
    </w:p>
    <w:p>
      <w:r>
        <w:rPr>
          <w:b/>
        </w:rPr>
        <w:t>E. 2.3</w:t>
      </w:r>
    </w:p>
    <w:p>
      <w:r>
        <w:t>Der Beschwerdeführer, der gemäss der von ihm eingereichten Beschwerdebeilage aus Algerien stammt, behauptet nicht, er selber sei EU-Bürger oder Familienangehöriger eines solchen und legt - entgegen seiner Begründungspflicht (vgl. E. 2.1 hiervor) - nicht ansatzweise dar, dass die Beschwerde in öffentlich-rechtlichen Angelegenheiten in der Hauptsache zur Verfügung stehen würde. Folglich fällt die Angelegenheit unter den Ausnahmetatbestand von Art. 83 lit. c Ziff. 1 BGG und erweist sich die Beschwerde in öffentlich-rechtlichen Angelegenheiten als offensichtlich unzulässig.</w:t>
      </w:r>
    </w:p>
    <w:p>
      <w:r>
        <w:rPr>
          <w:b/>
        </w:rPr>
        <w:t>E. 2.4</w:t>
      </w:r>
    </w:p>
    <w:p>
      <w:r>
        <w:t>Die eventualiter erhobene subsidiäre Verfassungsbeschwerde erweist sich ebenfalls als offensichtlich unzulässig, da dieses Rechtsmittel gegen Entscheide des Bundesverwaltungsgerichts nicht offen steht ( Art. 113 BGG</w:t>
      </w:r>
    </w:p>
    <w:p>
      <w:r>
        <w:t>e contrario ).</w:t>
      </w:r>
    </w:p>
    <w:p>
      <w:r>
        <w:rPr>
          <w:b/>
        </w:rPr>
        <w:t>E. 3.1</w:t>
      </w:r>
    </w:p>
    <w:p>
      <w:r>
        <w:t>Auf die offensichtlich unzulässige Beschwerde in öffentlich-rechtlichen Angelegenheiten bzw. subsidiäre Verfassungsbeschwerde ist mit Entscheid der Abteilungspräsidentin als Einzelrichterin im vereinfachten Verfahren nach Art. 108 BGG (Abs. 1 lit. a) nicht einzutreten.</w:t>
      </w:r>
    </w:p>
    <w:p>
      <w:r>
        <w:rPr>
          <w:b/>
        </w:rPr>
        <w:t>E. 3.2</w:t>
      </w:r>
    </w:p>
    <w:p>
      <w:r>
        <w:t>Das Gesuch um unentgeltliche Rechtspflege und Verbeiständung für das bundesgerichtliche Verfahren wird infolge offensichtlicher Aussichtslosigkeit des Rechtsmittels abgewiesen ( Art. 64 Abs. 1 und 2 BGG ), was ebenfalls einzelrichterlich geschehen kann ( Art. 64 Abs. 3 BGG ). Umständehalber wird indessen auf die Erhebung von Gerichtskosten verzichtet ( Art. 66 Abs. 1 Satz 2 BGG ). Parteientschädigungen sind nicht geschuldet ( Art. 68 Abs.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