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787/2014 vom 29. September 2014</w:t>
      </w:r>
    </w:p>
    <w:p>
      <w:r>
        <w:t>Bundesgericht, 2014-09-29, DE</w:t>
      </w:r>
    </w:p>
    <w:p>
      <w:r>
        <w:rPr>
          <w:b/>
        </w:rPr>
        <w:t xml:space="preserve">Quelle: </w:t>
      </w:r>
      <w:r>
        <w:t>https://mcp.opencaselaw.ch/entscheid/bger_2C_787_2014</w:t>
      </w:r>
    </w:p>
    <w:p>
      <w:r>
        <w:t>FR: TF 2C 787/2014 du 29 septembre 2014</w:t>
      </w:r>
    </w:p>
    <w:p>
      <w:r>
        <w:t>IT: TF 2C 787/2014 del 29 settembre 2014</w:t>
      </w:r>
    </w:p>
    <w:p>
      <w:pPr>
        <w:pStyle w:val="Heading2"/>
      </w:pPr>
      <w:r>
        <w:t>Regeste</w:t>
      </w:r>
    </w:p>
    <w:p>
      <w:r>
        <w:t>Ausschaffungshaft / Haftverlängerung | Bürgerrecht und Ausländerrecht</w:t>
      </w:r>
    </w:p>
    <w:p>
      <w:pPr>
        <w:pStyle w:val="Heading2"/>
      </w:pPr>
      <w:r>
        <w:t>Erwägungen</w:t>
      </w:r>
    </w:p>
    <w:p>
      <w:r>
        <w:rPr>
          <w:b/>
        </w:rPr>
        <w:t>E. 1</w:t>
      </w:r>
    </w:p>
    <w:p>
      <w:r>
        <w:t>Der Betroffene kann gegen den kantonal letztinstanzlichen Entscheid betreffend Zwangsmassnahmen im Ausländerrecht mit Beschwerde in öffentlich-rechtlichen Angelegenheiten an das Bundesgericht gelangen (Art. 82 i.V.m. Art. 86 Abs. 1 lit. d und Art. 89 Abs. 1 BGG ; Urteil 2C_1089/20012 vom 22. November 2012 E. 1). Dieses wendet das Recht in seinem Verfahren grundsätzlich von Amtes wegen an ( Art. 106 Abs. 1 BGG ). Es ist weder an die in der Beschwerde geltend gemachten Argumente noch an die Erwägungen der Vorinstanz gebunden (vgl. BGE 132 II 257 E. 2.5 S. 262). Immerhin prüft es, unter Berücksichtigung der Begründungspflicht des Betroffenen, nur die vorgebrachten Rügen, es sei denn die rechtlichen Mängel erschienen geradezu offensichtlich. Das Bundesgericht ist nicht gehalten, wie eine erstinstanzliche Behörde alle sich stellenden rechtlichen Fragen zu untersuchen, wenn diese in seinem Verfahren nicht mehr problematisiert werden ( BGE 133 II 249 E. 1.4.1). Die beschwerdeführende Person muss sich im Bezug auf den Verfahrensgegenstand in rechtlicher wie sachverhaltsmässiger Hinsicht sachbezogen mit den Ausführungen im angefochtenen Entscheid auseinandersetzen und darlegen, dass und inwiefern die Vorinstanz den Sachverhalt offensichtlich falsch festgestellt bzw. willkürlich gewürdigt oder anderweitig Bundesrecht verletzt hat (Art. 42 Abs. 2 i.V.m. Art. 106 Abs. 2 BGG ; BGE 133 II 249 E. 1.4.3; 133 III 350 E. 1.3, 393 E. 7.1, 462 E. 2.4).</w:t>
      </w:r>
    </w:p>
    <w:p>
      <w:r>
        <w:rPr>
          <w:b/>
        </w:rPr>
        <w:t>E. 2.1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 Urteil 2C_168/2013 vom 7. März 2013 E. 3). Je länger die Haft andauert, um so höher sind die Anforderungen unter dem Gesichtspunkt der Verhältnismässigkeit (Urteil 2C_984/2013 vom 14. November 2013 E. 3.2).</w:t>
      </w:r>
    </w:p>
    <w:p>
      <w:r>
        <w:rPr>
          <w:b/>
        </w:rPr>
        <w:t>E. 2.2</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relevanten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ANDRÉ EQUEY, Änderungen im Bereich der Zwangsmassnahmen im Ausländerrecht aufgrund der Übernahme der EG-Rückführungsrichtlinie durch die Schweiz, AJP 2011 S. 924 ff., dort S. 934) :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der körperlichen Unversehrtheit der betroffenen Personen erfolgen (Art. 8 Abs. 4 RL 2008/115/EG). Drittstaatsangehörige, gegen die ein Rückkehrverfahren hängig ist, können nur in Haft genommen werden, wenn im konkreten Fall keine anderen, milderen Zwangsmassnahmen wirksam erscheinen (vgl. EQUEY, a.a.O., S. 936); die Haftdauer hat so kurz wie möglich zu sein; sie darf sich nur auf die Dauer der laufenden Abschiebungsvorkehrungen erstrecken, soweit diese mit der gebotenen Sorgfalt vorangetrieben werden (vgl. Art. 15 Abs. 1 RL 2008/115/EG).</w:t>
      </w:r>
    </w:p>
    <w:p>
      <w:r>
        <w:rPr>
          <w:b/>
        </w:rPr>
        <w:t>E. 2.3</w:t>
      </w:r>
    </w:p>
    <w:p>
      <w:r>
        <w:t>Der Beschwerdeführer macht zu Recht geltend, dass in seinem Fall kaum mehr innert vernünftiger Frist auf eine dem Völkerrecht entsprechende Mitwirkung der tunesischen Behörden gezählt werden kann, auch wenn die kantonalen Behörden alles ihnen möglich unternommen haben, um die Ausschaffung des Beschwerdeführers zu vollziehen, und von den Behörden nicht schematisch verlangt werden kann, alle zwei Monate bei den ausländischen Behörden vorstellig zu werden (vgl. THOMAS HUGI YAR, § 10 Zwangsmassnahmen im Ausländerrecht, in: Uebersax/Rudin/Hugi Yar/Geiser, Ausländerrecht, 2. Aufl. 2009 Rz. 10.102). Der Beschwerdeführer befindet sich seit dem 10. November 2013 in Ausschaffungshaft. Bereits am 13. August 2012 ersuchte der Kanton das Bundesamt für Migration um Vollzugshilfe bei der Organisation der Ausschaffung des Beschwerdeführers nach Tunesien. Dieses wandte sich am 22. Mai 2013 an die tunesische Botschaft; am 27. September 2013 fragte es dort nach dem Stand des Verfahrens nach. In der Folge ergab anfangs 2014 eine Lingua-Befragung, was bereits als ziemlich sicher bekannt war, nämlich dass der Beschwerdeführer aus Tunesien stammt, worauf das Bundesamt am 12. Februar 2014 einen telefonischen Kontakt mit der Botschaft hatte, wobei ein Botschaftsmitarbeiter mitteilte, es würden eine Geburtsurkunde und Fotos gebraucht. Die zuständige Mitarbeiterin des BFM informierte den Kanton, dass sie Ende Februar 2014 noch einmal persönlich auf der Botschaft vorsprechen werde, ob und mit welchem Erfolg dies geschah, ist nicht erstellt. Am 8. Mai 2014 fand seitens des BFM ein Perspektivengespräch mit dem Beschwerdeführer statt, wobei als weitere Schritte festgehalten wurde: "Identifizierungsprozess weiterführen, erneutes Perspektivengespräch". Auf die Aufforderung des Bundesgerichts hin, im Sinne eines Amtsberichts über die Ausschaffungsaussichten im vorliegenden Fall zu informieren, hat das Bundesamt für Migration nicht reagiert, sodass davon auszugehen ist, dass die Einwände des Beschwerdeführers bezüglich der derzeitigen und weiter absehbaren Schwierigkeiten, für ihn bei den tunesischen Behörden die nötigen Papiere zu beschaffen, zutreffen.</w:t>
      </w:r>
    </w:p>
    <w:p>
      <w:r>
        <w:rPr>
          <w:b/>
        </w:rPr>
        <w:t>E. 3.1</w:t>
      </w:r>
    </w:p>
    <w:p>
      <w:r>
        <w:t>Die Fortsetzung der Haft ist deshalb unverhältnismässig (Verletzung des Übermassverbots), die Beschwerde demnach gutzuheissen, soweit darauf eingetreten wird, und der Entscheid des Verwaltungsgerichts des Kantons Aargau vom 31. Juli 2014 aufzuheben und der Beschwerdeführer unverzüglich aus der Haft zu entlassen (vgl. BGE 139 I 206 E. 2.4). Es bleibt den kantonalen Behörden unbenommen, diesem eine Meldepflicht aufzuerlegen oder ihn auf ein bestimmtes Gebiet einzugrenzen (vgl. Art. 74 Abs. 1 lit. b AuG). Eine allfällige Missachtung der Ein- oder Ausgrenzung könnte für den Beschwerdeführer eine Freiheitsstrafe von bis zu drei Jahren oder eine Geldstrafe zur Folge haben (Art. 119 AuG; Urteil 2C_1089/2102 vom 22. November 2012 E. 5).</w:t>
      </w:r>
    </w:p>
    <w:p>
      <w:r>
        <w:rPr>
          <w:b/>
        </w:rPr>
        <w:t>E. 3.2</w:t>
      </w:r>
    </w:p>
    <w:p>
      <w:r>
        <w:t>Dem Ausgang des Verfahrens entsprechend sind keine Kosten zu erheben ( Art. 66 Abs. 1 und 4 BGG ). Mit der Gutheissung der Beschwerde wird das Gesuch um unentgeltliche Rechtspflege und Verbeiständung gegenstandslos. Der Kanton Aargau hat den Beschwerdeführer für das bundesgerichtliche Verfahren angemessen zu entschädigen ( Art. 68 BGG ). Das Verwaltungsgericht hat über die kantonale Kosten- und Entschädigungsfrage gegebenenfalls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