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786/2010 vom 19. Januar 2011</w:t>
      </w:r>
    </w:p>
    <w:p>
      <w:r>
        <w:t>Bundesgericht, 2011-01-19, DE</w:t>
      </w:r>
    </w:p>
    <w:p>
      <w:r>
        <w:rPr>
          <w:b/>
        </w:rPr>
        <w:t xml:space="preserve">Quelle: </w:t>
      </w:r>
      <w:r>
        <w:t>https://mcp.opencaselaw.ch/entscheid/bger_2C_786_2010</w:t>
      </w:r>
    </w:p>
    <w:p>
      <w:r>
        <w:t>FR: TF 2C 786/2010 du 19 janvier 2011</w:t>
      </w:r>
    </w:p>
    <w:p>
      <w:r>
        <w:t>IT: TF 2C 786/2010 del 19 gennaio 2011</w:t>
      </w:r>
    </w:p>
    <w:p>
      <w:pPr>
        <w:pStyle w:val="Heading2"/>
      </w:pPr>
      <w:r>
        <w:t>Regeste</w:t>
      </w:r>
    </w:p>
    <w:p>
      <w:r>
        <w:t>Beschluss der Schulleitung der ETH Zürich vom 29. September 2009 | Unterrichtswesen und Berufsausbildung</w:t>
      </w:r>
    </w:p>
    <w:p>
      <w:pPr>
        <w:pStyle w:val="Heading2"/>
      </w:pPr>
      <w:r>
        <w:t>Erwägungen</w:t>
      </w:r>
    </w:p>
    <w:p>
      <w:r>
        <w:rPr>
          <w:b/>
        </w:rPr>
        <w:t>E. 1.1</w:t>
      </w:r>
    </w:p>
    <w:p>
      <w:r>
        <w:t>Die Beschwerde richtet sich gegen einen verfahrensabschliessenden Nichteintretensentscheid des Bundesverwaltungsgerichts im Bereich des öffentlichen Rechts. Dieser prozessuale Endentscheid bildet ein zulässiges Anfechtungsobjekt der Beschwerde in öffentlich-rechtlichen Angelegenheiten an das Bundesgericht (Art. 82 lit. a in Verbindung mit Art. 86 Abs. 1 lit. a und Art. 90 BGG ). Ein Ausschlussgrund nach Art. 83 BGG liegt nicht vor. Die Beschwerde ist damit grundsätzlich zulässig.</w:t>
      </w:r>
    </w:p>
    <w:p>
      <w:r>
        <w:rPr>
          <w:b/>
        </w:rPr>
        <w:t>E. 1.2</w:t>
      </w:r>
    </w:p>
    <w:p>
      <w:r>
        <w:t>Streitgegenstand bildet einzig die Frage, ob das Bundesverwaltungsgericht zu Recht auf die bei ihm erhobene Beschwerde nicht eingetreten ist. Trifft dies zu, so hat es bei diesem Nichteintretensentscheid sein Bewenden. Erweist er sich hingegen als bundesrechtswidrig, so ist die Sache an das Bundesverwaltungsgericht zurückzuweisen zu weiterer Beurteilung des Falles.</w:t>
      </w:r>
    </w:p>
    <w:p>
      <w:r>
        <w:rPr>
          <w:b/>
        </w:rPr>
        <w:t>E. 1.3</w:t>
      </w:r>
    </w:p>
    <w:p>
      <w:r>
        <w:t>Mit der Beschwerde kann eine Rechtsverletzung nach Art. 95 und 96 BGG , namentlich ein Verstoss gegen Bundesrecht,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BGE 135 II 38 E. 4.3 S. 45; 131 II 13 E. 2.2. S. 17; AEMISEGGER/ SCHERRER, in: Basler Kommentar, Bundesgerichtsgesetz, 2008, Art. 82 N. 30; MOSER/BEUSCH/KNEUBÜHLER, Prozessieren vor dem Bundesverwaltungsgericht, 2008, Rz. 2.3; TSCHANNEN/ZIMMERLI/MÜLLER, Allgemeines Verwaltungsrecht, 3. Aufl. 2009, S. 225 ff., insb. S. 229 ff.).</w:t>
      </w:r>
    </w:p>
    <w:p>
      <w:r>
        <w:rPr>
          <w:b/>
        </w:rPr>
        <w:t>E. 2.2</w:t>
      </w:r>
    </w:p>
    <w:p>
      <w:r>
        <w:t>Das Bundesverwaltungsgericht geht davon aus, beim angefochtenen Beschluss der ETH-Schulleitung vom 29. September 2009 handle es sich nicht um eine Verfügung im Sinne von Art. 5 VwVG , weshalb auf die Beschwerde nicht einzutreten sei.</w:t>
      </w:r>
    </w:p>
    <w:p>
      <w:r>
        <w:rPr>
          <w:b/>
        </w:rPr>
        <w:t>E. 2.2.1</w:t>
      </w:r>
    </w:p>
    <w:p>
      <w:r>
        <w:t>In Bezug auf Ziff. 2 des Beschlusses der ETH-Schulleitung vom 29. September 2009 führt die Vorinstanz aus, es hänge vom Zweck und den Wirkungen des Untersuchungsverfahrens ab, ob deren Einstellung Verfügungscharakter zukomme. Sie kommt zum Schluss, es handle sich hier um eine Administrativuntersuchung und die Einstellung stelle einen blossen Realakt dar, dem kein Verfügungscharakter zukomme. Der Beschwerdeführer macht hingegen im Wesentlichen geltend, bei der Durchführung und Einstellung des Untersuchungsverfahrens handle es sich keineswegs um blosse Realakte; vielmehr bildeten diese Voraussetzung für die Beschlüsse der ETHZ vom 15. und. 29. September 2009, mit denen "die Interessen und Rechte des Beschwerdeführers tiefgreifend verletzt" wurden. Eine Einstellung des Verfahrens würde gegen die "Unschuldsvermutung und die Persönlichkeitsrechte des Beschwerdeführers verstossen" (vgl. Beschwerde Ziff. 54 und 56). Die Vorinstanz hat zu Recht festgehalten (angefochtener Entscheid E. 2.3.3), dass die in Ziff. 2 des Beschlusses enthaltene Formulierung, die Untersuchung werde "eingestellt", irreführend sei. Aus den Akten ist klar ersichtlich, dass die Untersuchung nicht im Sinne von Art. 8 der Verfahrensordnung bei Verdacht auf Fehlverhalten in der Forschung an der ETH Zürich vom 30. März 2004 (RSETHZ 415; im Folgenden: Verfahrensordnung) eingestellt worden ist. Eine Einstellung im Sinne der Verfahrensordnung wäre nur bei einer Unbegründetheit der Beschuldigung vorgesehen. Hier wurde der Bericht jedoch gemäss Art. 7 der Verfahrensordnung an die Schulleitung überwiesen, welche in der Folge die entsprechenden Massnahmen, unter anderem den Beschluss vom 15. September 2009, getroffen hat. Unter diesen Umständen kann Ziff. 2 des Beschlusses vom 29. September 2009 nur so verstanden werden, dass die Untersuchung formell beendet worden ist. Aus der unpräzisen Bezeichnung "Einstellung" vermag der Beschwerdeführer - entgegen seinen Ausführungen - nichts zu seinen Gunsten abzuleiten: Es werden hier insbesondere keine neuen Rechte und Pflichten des Beschwerdeführers begründet. Der Schluss der Vorinstanz, Ziff. 2 des angefochtenen Beschlusses komme kein Verfügungscharakter zu, ist damit nicht zu beanstanden. Als ebenso zutreffend erweist sich die Folgerung der Vorinstanz, dass die Rechtmässigkeit des Berichts der Untersuchungskommission bzw. dessen Veröffentlichung nicht im vorliegenden, sondern im - nach wie vor am Bundesverwaltungsgericht hängigen - Verfahren A-5986/2009 zu thematisieren wäre.</w:t>
      </w:r>
    </w:p>
    <w:p>
      <w:r>
        <w:rPr>
          <w:b/>
        </w:rPr>
        <w:t>E. 2.2.2</w:t>
      </w:r>
    </w:p>
    <w:p>
      <w:r>
        <w:t>In Bezug auf Ziff. 3 des Beschlusses der ETH-Schulleitung vom 29. September 2009 führt die Vorinstanz aus, diese enthalte - mit Ausnahme des zweiten Satzes - im Vergleich zu Ziff. 3 des Beschlusses vom 15. September 2009 nichts Neues und komme als Anfechtungsobjekt nicht in Frage. Der zweite Satz enthalte lediglich eine interne Anweisung an die Rektorin. Der Beschwerdeführer vertritt hingegen die Auffassung, das Bundesverwaltungsgericht verkenne, dass der Beschwerdeführer bzw. seine Vertreterin mit E-Mail vom 16. September 2009 bzw. Brief vom 18. September 2009 ein Wiedererwägungsgesuch gestellt habe. Der Beschluss vom 29. September 2009 bilde einen Wiedererwägungsentscheid, der wiederum einer gerichtlichen Prüfung unterliege. Es erweist sich hier als fraglich, ob die E-Mail vom 16. September 2009 oder der Brief vom 18. September 2009 als Wiedererwägungsgesuch angesehen werden können. Die Frage kann indes aus folgendem Grund offen gelassen werden: Grundsätzlich trifft es zwar zu, dass eine Verfügung, mit der eine Behörde auf ein Wiedererwägungsgesuch eintritt und neu entscheidet, wieder anfechtbar ist. Hier hat aber der Beschwerdeführer gegen den (ersten) Beschluss der Schulleitung vom 15. September 2009 Beschwerde erhoben. Damit wurde das Bundesverwaltungsgericht zuständig für die Behandlung der Sache (Devolutiveffekt; Art. 54 VwVG ), was auch den Erlass vorsorglicher Massnahmen einschliesst. Die ETHZ hätte zwar gemäss Art. 58 VwVG ihren Beschluss in Wiedererwägung ziehen können. Im vorliegenden Fall hat aber die ETHZ die angefochtene Verfügung nicht in Wiedererwägung gezogen; dieser Entscheid (vom 29. September 2009) kann nun aber nicht wiederum (selbständig) angefochten werden, weil sonst die gleichen, den Streitgegenstand bildenden Punkte wie in der Beschwerde gegen die ursprüngliche Verfügung (vom 15. September 2009) Anfechtungsobjekt bilden würden. Vielmehr ist das hängige Beschwerdeverfahren vor dem Bundesverwaltungsgericht (A-5986/2009) fortzusetzen und dort über die gestellten Anträge zu entscheiden (vgl. ANDREA PFLEIDERER, in: Praxiskommentar zum Bundesgesetz über das Verwaltungsverfahren, 2009, Rz. 52 und 55 zu Art. 58). Im Übrigen stellt auch der zweite Satz von Ziff. 3 des Beschlusses vom 29. September 2009 keine eigenständige Regelung dar, sondern zieht bloss die Konsequenzen aus den vom Bundesverwaltungsgericht getroffenen und zu treffenden Anordnungen.</w:t>
      </w:r>
    </w:p>
    <w:p>
      <w:r>
        <w:rPr>
          <w:b/>
        </w:rPr>
        <w:t>E. 2.2.3</w:t>
      </w:r>
    </w:p>
    <w:p>
      <w:r>
        <w:t>Zusammengefasst stellt der Schluss der Vorinstanz, es sei auf die Beschwerde mangels einer Verfügung im Sinne von Art. 5 VwVG vor dem Bundesverwaltungsgericht nicht einzutreten, keine Bundesrechtsverletzung dar. Die Beschwerde erweist sich demnach als unbegründet und ist abzuweisen.</w:t>
      </w:r>
    </w:p>
    <w:p>
      <w:r>
        <w:rPr>
          <w:b/>
        </w:rPr>
        <w:t>E. 3</w:t>
      </w:r>
    </w:p>
    <w:p>
      <w:r>
        <w:t>Dem Verfahrensausgang entsprechend sind die Gerichtskosten dem unterliegenden Beschwerdeführer aufzuerlegen ( Art. 66 Abs. 1 BGG ). Dieser hat dem Beteiligten Y.________ überdies eine Parteientschädigung zu bezahlen ( Art. 68 Abs. 1 und 2 BGG ), wogegen der ETHZ als mit öffentlich-rechtlichen Aufgaben betraute Organisation praxisgemäss keine Parteientschädigung beanspruchen kann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