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784/2013 vom 11. Februar 2014</w:t>
      </w:r>
    </w:p>
    <w:p>
      <w:r>
        <w:t>Bundesgericht, 2014-02-11, FR</w:t>
      </w:r>
    </w:p>
    <w:p>
      <w:r>
        <w:rPr>
          <w:b/>
        </w:rPr>
        <w:t xml:space="preserve">Quelle: </w:t>
      </w:r>
      <w:r>
        <w:t>https://mcp.opencaselaw.ch/entscheid/bger_2C_784_2013</w:t>
      </w:r>
    </w:p>
    <w:p>
      <w:r>
        <w:t>FR: TF 2C 784/2013 du 11 février 2014</w:t>
      </w:r>
    </w:p>
    <w:p>
      <w:r>
        <w:t>IT: TF 2C 784/2013 del 11 febbraio 2014</w:t>
      </w:r>
    </w:p>
    <w:p>
      <w:pPr>
        <w:pStyle w:val="Heading2"/>
      </w:pPr>
      <w:r>
        <w:t>Regeste</w:t>
      </w:r>
    </w:p>
    <w:p>
      <w:r>
        <w:t>Autorisation de séjour; révocation | Droit de cité et droit des étrangers</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suisse ayant cessé d'exister, celle-ci ne peut pas déduire un droit à une autorisation de séjour de l'art. 42 al. 1 LEtr ni de l'art. 49 LEtr. Reste l'art. 50 al. 1 LEtr qui subordonne la prolongation de son autorisation de séjour à certaines conditions dont se prévaut la recourante. En pareilles circonstances, il convient d'admettre un droit de recourir sous l'angle de l' art. 83 let . c ch. 2 LTF.</w:t>
      </w:r>
    </w:p>
    <w:p>
      <w:r>
        <w:rPr>
          <w:b/>
        </w:rPr>
        <w:t>E. 2</w:t>
      </w:r>
    </w:p>
    <w:p>
      <w:r>
        <w:t>Invoquant l'interdiction de l'arbitraire, la recourante se plaint de la violation de l' art. 28 LPA /VD qui prévoit que "l'autorité établit d'office les faits". Elle se plaint également de l'appréciation arbitraire des preuves.</w:t>
      </w:r>
    </w:p>
    <w:p>
      <w:r>
        <w:rPr>
          <w:b/>
        </w:rPr>
        <w:t>E. 2.1</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w:t>
      </w:r>
    </w:p>
    <w:p>
      <w:r>
        <w:rPr>
          <w:b/>
        </w:rPr>
        <w:t>E. 2.2</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(cf. ATF 138 III 378 consid. 6.1 p. 379 s. et les arrêts cités).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2.3</w:t>
      </w:r>
    </w:p>
    <w:p>
      <w:r>
        <w:t>Aux fins de démontrer l'arbitraire dans l'application de l' art. 28 LPA /VD, la recourante met en relation deux phrases de l'arrêt attaqué: la première selon laquelle " les déclarations de la recourante et de son conjoint, si elles s'accordent sur le fait qu'ils avaient des difficultés conjugales, sont contradictoires quant à savoir lequel des deux époux était à l'origine de ces difficultés " et la deuxième, selon laquelle" contrairement au devoir de collaboration étendu que l'on était en droit d'exiger de la recourante quant à l'établissement des faits, celle-ci n'avait fourni qu'un constat médical pour coups et blessures à l'appui de ses affirmations. " La recourante est d'avis que l'attitude de l'instance précédente, qui n'aurait pas cherché à savoir qui était à l'origine des violences exercée au sein du couple et se serait retranchée derrière le devoir de collaborer des parties, constitue une violation arbitraire de l' art. 28 LPA /VD. En effet, elle aurait expliqué à l'instance précédente combien son époux avait menti à la police, ce qui serait démontré par le contenu de la requête de mesures protectrices de l'union conjugale déposée par ce dernier le 19 mars 2012. Elle aurait également établi les violences dont elle avait fait l'objet de la part de l'ex-épouse de son époux, ce qui avait conduit à ce qu'elle dépose une plainte pénale à l'encontre de l'ex-épouse, retirée ensuite pour donner une chance à son mariage. Enfin, elle aurait produit tous les documents qu'elle avait en sa possession prouvant les violences conjugales. Dans ces conditions, explique-t-elle, si l'autorité avait encore un doute sur le déroulement des événements elle se devait de l'interpeler, ce que dite autorité n'au- rait manifestement pas fait, se contentant des déclarations ahurissantes de l'époux, qui démontreraient le manque de respect et le dédain de ce dernier à son égard. Les griefs de violation de l'interdiction de l'arbitraire de la recourante doivent être rejetés. Elle perd de vue que l'instance précédente a renoncé à établir qui était à l'origine des difficultés conjugales et non pas si des violences conjugales avaient été exercées. Certes la formulation de l'instance précédente selon laquelle la recourante n'a fourni qu'un certificat médical contrairement à son devoir étendu de collaboration est pour le moins maladroite. Elle ne signifie toutefois pas que l'autorité avait des doutes sur les faits utiles à l'application de l'art. 50 al. 1 let. b LEtr, mais exprimait la simple constatation que la recourante n'avait été en mesure de produire qu'un seul certificat médical. Une telle formulation ne conduit pas encore à qualifier l'arrêt attaqué d'arbitraire pour violation de l' art. 28 LPA /VD. En effet, du moment que la recourante affirme elle-même dans son mémoire de recours avoir produit tous les documents qu'elle avait en sa possession, le résultat auquel parvient l'arrêt attaqué sous l'angle de la constatation des faits n'est en rien arbitraire dans son résultat: de l'aveu de la recourante, il n'y a en effet pas d'autres documents dont l'instance précédente aurait pu obtenir la production.</w:t>
      </w:r>
    </w:p>
    <w:p>
      <w:r>
        <w:rPr>
          <w:b/>
        </w:rPr>
        <w:t>E. 2.4</w:t>
      </w:r>
    </w:p>
    <w:p>
      <w:r>
        <w:t>La recourante soutient également que l'instance précédente n'a pas instruit d'office la question de la maladie psychique de son époux. Ce grief est irrecevable en ce qu'il n'expose pas en quoi la correction de ce vice, s'il s'agit bien d'un vice, aurait été susceptible d'influer sur le sort de la cause.</w:t>
      </w:r>
    </w:p>
    <w:p>
      <w:r>
        <w:rPr>
          <w:b/>
        </w:rPr>
        <w:t>E. 2.5</w:t>
      </w:r>
    </w:p>
    <w:p>
      <w:r>
        <w:t>La recourante expose qu'elle avait requis l'audition de témoins et que ce mode de preuve a été rejeté. Ce grief est irrecevable parce qu'il n'est pas motivé (art. 42 al. 2 et 106 al. 2 LTF), en ce qu'il ne s'en prend pas à la motivation contenue dans le considérant 1 de l'arrêt attaqué.</w:t>
      </w:r>
    </w:p>
    <w:p>
      <w:r>
        <w:rPr>
          <w:b/>
        </w:rPr>
        <w:t>E. 2.6</w:t>
      </w:r>
    </w:p>
    <w:p>
      <w:r>
        <w:t>La recourante se plaint encore d'appréciation arbitraire des preuves sous deux aspects. En premier lieu, l'instance précédente aurait retenu exclusivement les propos de son époux sans les pondérer avec les siens. Elle n'indique toutefois pas de quels propos il s'agit, de sorte que son grief est irrecevable parce qu'il ne respecte pas les exigences accrues de motivation de l' art. 106 al. 2 LTF . En second lieu, l'instance précédente n'aurait pas pris au sérieux les accusations qu'elle formulait à l'encontre de son époux et de l'ex-épouse de ce dernier ni le rapport médical qui a été produit bien qu'il décrive les violences subies. Ce grief doit être rejeté. L'instance précédente a constaté que la plainte pénale que la recourante avait déposée a été retirée et que le certificat médical n'ordonnait aucun traitement. Elle pouvait par conséquent sans arbitraire retenir que les violences conjugales n'avaient pour partie pas été prouvées et pour partie avaient été établies mais n'avaient pas revêtu une intensité particulière puisqu'elles n'avaient pas nécessité de traitement.</w:t>
      </w:r>
    </w:p>
    <w:p>
      <w:r>
        <w:rPr>
          <w:b/>
        </w:rPr>
        <w:t>E. 3</w:t>
      </w:r>
    </w:p>
    <w:p>
      <w:r>
        <w:t>D'après l'art. 50 al. 1 LEtr, après dissolution de la famille, le droit du conjoint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Au demeurant la recourante se prévaut uniquement de l'art.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394 ss; 137 II 345 ). Le Tribunal fédéral a mis en lumière un certain nombre de situations dans lesquelles la poursuite du séjour en Suisse peut s'imposer. Ces situations ne sont pas exhaustives ( ATF 138 II 393 consid. 3.1 p. 394 ss; 136 II 1 consid. 5.2 p. 3 s.). Parmi elles figurent notamment les violences conjugales (art. 50 al. 2 LEtr et 77 al. 2 OASA), la réintégration fortement compromise dans le pays d'origine et le cas dans lequel le conjoint duquel dépend le droit de séjour de l'étranger décède ( ATF 138 II 393 consid. 3.1 p. 394 ss; 137 II 345 consid. 3.2.2 p. 349; 136 II 1 consid. 5.3 p. 4).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p. 233; 136 II 1 consid. 5.3 p. 4); elle peut être de nature tant physique que psychique (arrêts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 3.2.1 p. 232 s. et les références citées). L'étranger est soumis à un devoir de collaboration étendu dans l'établissement des faits, en l'espèce de la violence conjugale et de son intensité; il doit fournir des indices tels que certificats médicaux, expertises psychiatriques, rapports de police, jugements pénaux (cf. art. 77 al. 6 OASA ),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 ATF 138 II 229 consid. 3.2.3 p. 235; 2C_968/2012 du 22 mars 2013 consid. 3.2).</w:t>
      </w:r>
    </w:p>
    <w:p>
      <w:r>
        <w:rPr>
          <w:b/>
        </w:rPr>
        <w:t>E. 4.2</w:t>
      </w:r>
    </w:p>
    <w:p>
      <w:r>
        <w:t>En l'espèce, l'unique certificat médical du 1er septembre 2011, produit par la recourante, fait état de différentes rougeurs autour des clavicules et du cou, de douleurs sans lésion visible au pubis ainsi que d'un état de choc. Il ressort toutefois du même certificat que les médecins n'ont ordonné aucun traitement physique ou psychique ni arrêt de travail. Pour le surplus, l'arrêt attaqué retient que la recourante a fait des déclarations contradictoires sur le nombre de fois où elle aurait appelé la police en raison de violences physiques exercées à son encontre par les membres de la famille de son époux et qu'elle a déposé une plainte pénale, retirée par la suite. Les violences physiques et psychiques dont se prévaut la recourante n'ont dans ces circonstances pas eu lieu de manière systématique et n'ont au demeurant pas eu de conséquences graves sur sa santé. La recourante n'a en effet pas eu besoin de soins particuliers ni d'arrêt de travail. A cela s'ajoute qu'elle a elle-même retiré une plainte pénale qu'elle avait déposée. En jugeant que les violences subies par la recourante ne revêtaient pas l'intensité requise par l'art. 50 al. 1 let. b LEtr et la jurisprudence pour justifier la prolongation du permis de séjour, l'instance précédente n'a par conséquent pas violé le droit fédéral.</w:t>
      </w:r>
    </w:p>
    <w:p>
      <w:r>
        <w:rPr>
          <w:b/>
        </w:rPr>
        <w:t>E. 5</w:t>
      </w:r>
    </w:p>
    <w:p>
      <w:r>
        <w:t>Les considérants qui précédent conduisent au rejet du recours dans la mesure où il est recevable.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