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2C_782/2017 vom 27. März 2018</w:t>
      </w:r>
    </w:p>
    <w:p>
      <w:r>
        <w:t>Bundesgericht, 2018-03-27, DE</w:t>
      </w:r>
    </w:p>
    <w:p>
      <w:r>
        <w:rPr>
          <w:b/>
        </w:rPr>
        <w:t xml:space="preserve">Quelle: </w:t>
      </w:r>
      <w:r>
        <w:t>https://mcp.opencaselaw.ch/entscheid/bger_2C_782_2017</w:t>
      </w:r>
    </w:p>
    <w:p>
      <w:r>
        <w:t>FR: TF 2C_782/2017 du 27 mars 2018</w:t>
      </w:r>
    </w:p>
    <w:p>
      <w:r>
        <w:t>IT: TF 2C_782/2017 del 27 marzo 2018</w:t>
      </w:r>
    </w:p>
    <w:p>
      <w:pPr>
        <w:pStyle w:val="Heading2"/>
      </w:pPr>
      <w:r>
        <w:t>Erwägungen</w:t>
      </w:r>
    </w:p>
    <w:p>
      <w:r>
        <w:rPr>
          <w:b/>
        </w:rPr>
        <w:t>E. 1.1</w:t>
      </w:r>
    </w:p>
    <w:p>
      <w:r>
        <w:t>Die Beschwerde richtet sich gegen den verfahrensabschliessenden Entscheid einer letzten kantonalen Instanz in einer Angelegenheit des öffentlichen Rechts. Der Beschwerdeführer war am vorinstanzlichen Verfahren beteiligt und ist mit seinen Anträgen unterlegen. Er ist durch den angefochtenen Entscheid formell und materiell beschwert. Die Voraussetzungen der Beschwerde in öffentlich-rechtlichen Angelegenheiten liegen vor (Art. 82 lit. a, Art. 83 e contrario, Art. 86 Abs. 1 lit. d und Abs. 2, Art. 89 Abs. 1 und Art. 90 BGG ).</w:t>
      </w:r>
    </w:p>
    <w:p>
      <w:r>
        <w:rPr>
          <w:b/>
        </w:rPr>
        <w:t>E. 1.2</w:t>
      </w:r>
    </w:p>
    <w:p>
      <w:r>
        <w:t>Gemäss Art. 42 Abs. 1 BGG hat die Beschwerde die Begehren und deren Begründung zu enthalten. In der Begründung ist in gedrängter Form darzulegen, inwiefern der angefochtene Entscheid Recht verletzt ( Art. 42 Abs. 2 BGG ). Der Beschwerdeführer stellt keinen formellen Antrag in der Sache. Aus seiner Begründung kann allerdings geschlossen werden, dass er die Aufhebung des angefochtenen Entscheids und die Anerkennung der bei Dr. phil. B.________ absolvierten Ausbildung als Fortbildung anbegehrt.</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Die Verletzung von Grundrechten sowie von kantonalem und interkantonalem Recht untersucht das Bundesgericht in jedem Fall nur insoweit, als eine solche Rüge in der Beschwerde präzise vorgebracht und begründet worden ist ( Art. 106 Abs. 2 BGG ; BGE 142 II 369 E. 2.1 S. 372).</w:t>
      </w:r>
    </w:p>
    <w:p>
      <w:r>
        <w:rPr>
          <w:b/>
        </w:rPr>
        <w:t>E. 2.1</w:t>
      </w:r>
    </w:p>
    <w:p>
      <w:r>
        <w:t>Im Bereich der universitären Medizinalberufe sind die Regeln zu deren privatwirtschaftlicher Ausübung in eigener fachlicher Verantwortung abschliessend durch das Bundesgesetz vom 23. Juni 2006 über die universitären Medizinalberufe (MedBG; SR 811.11) geregelt. Die Erteilung der Berufsausübungsbewilligung fällt gemäss Art. 34 Abs. 1 MedBG in die Zuständigkeit der Kantone. Die Bewilligungsvoraussetzungen sind in Art. 36 MedBG abschliessend aufgelistet. Hingegen kann der Kanton gemäss Art. 37 MedBG vorsehen, dass die Bewilligung zur privatwirtschaftlichen Berufsausübung in eigener fachlicher Verantwortung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(vgl. BGE 143 I 352 E. 3.2 S. 355 f.). Der Kanton bezeichnet eine Behörde, welche die Personen beaufsichtigt, die im betreffenden Kanton einen universitären Medizinalberuf privatwirtschaftlich in eigener fachlicher Verantwortung ausüben ( Art. 41 Abs. 1 MedBG ). Diese Aufsichtsbehörde trifft die für die Einhaltung der Berufspflichten nötigen Massnahmen. Sie kann den entsprechenden kantonalen Berufsverbänden gewisse Aufsichtsaufgaben delegieren ( Art. 41 Abs. 2 MedBG ). Die Anordnung der im Bundesgesetz abschliessend aufgezählten Disziplinarmassnahmen erfolgt durch diese kantonale Aufsichtsbehörde (vgl. Art. 43 Abs. 1 MedBG ). Mit Blick auf den Vorrang des Bundesrechts kann eine Person, die ihren Medizinalberuf selbständig ausübt, indes nur mit den in Art. 43 MedBG abschliessend aufgeführten Massnahmen diszipliniert werden (vgl. BGE 143 I 352 E. 3.3 S. 356 f.).</w:t>
      </w:r>
    </w:p>
    <w:p>
      <w:r>
        <w:rPr>
          <w:b/>
        </w:rPr>
        <w:t>E. 2.2</w:t>
      </w:r>
    </w:p>
    <w:p>
      <w:r>
        <w:t>Personen, die den Beruf des Zahnarztes privatwirtschaftlich in eigener fachlicher Verantwortung ausüben, sind von Gesetzes wegen verpflichtet, ihre beruflichen Kenntnisse, Fähigkeiten und Fertigkeiten durch lebenslange Fortbildung zu vertiefen, zu erweitern und zu verbessern (Art. 40 lit. b i.V.m. Art. 2 Abs. 1 lit. b MedBG ). Die lebenslange Fortbildung soll die Aktualisierung des Wissens und der beruflichen Kompetenz gewährleisten ( Art. 3 Abs. 4 MedBG ). Sie knüpft an die in Art. 40 lit. a MedBG verankerte Sorgfaltspflicht an und trägt dem Umstand Rechnung, dass sich die wissenschaftliche Forschung in der Medizin stetig weiterentwickelt und immer neue Erkenntnisse und Methoden hinzukommen. Eine regelmässige Aktualisierung der Kenntnisse und Kompetenzen ist deshalb im Bereich der Medizinalberufe unerlässlich (vgl. MARIO MARTI/PHILIPP STRAUB, Arzt und Berufsrecht, in: Moritz W. Kuhn/Tomas Poledna [Hrsg.], Arztrecht in der Praxis, 2. Aufl. 2007, S. 247 f.; WALTER FELLMANN, in: Ayer/Kieser/Poledna/Sprumont [Hrsg.], Kommentar zum Medizinalberufegesetz, 2009, Rz. 90 zu Art. 40). Analog zu Art. 40 lit. b MedBG ist gemäss dem Gesundheitsgesetz des Kantons Freiburg jede Person, die einen Beruf des Gesundheitswesens ausübt, verpflichtet, ihre beruflichen Kenntnisse, Fähigkeiten und Fertigkeiten im Interesse der Qualitätssicherung durch Weiterbildung zu vertiefen, zu erweitern und zu verbessern (Art. 87 Abs. 1 GesG/FR). Die Aufsicht über die Medizinalberufe erfolgt durch die Aufsichtskommission. Sie sorgt insbesondere für die Einhaltung der Gesetzes- und Ausführungsbestimmungen über die Pflichten der der Aufsicht unterstellten Personen (Art. 17 GesG/FR).</w:t>
      </w:r>
    </w:p>
    <w:p>
      <w:r>
        <w:t>Art. 43 Abs. 1 MedBG sieht als Disziplinarmassnahmen für die Verletzung der Berufspflichten eine Verwarnung (lit. a), einen Verweis (lit. b), eine Busse bis zu Fr. 20'000.- (lit. c) und ein befristetes (lit. d) oder definitives (lit. e) Verbot der privatwirtschaftlichen Berufsausübung in eigener fachlicher Verantwortung vor. Die Art und Höhe der Sanktion hängt von der Schwere der Berufspflichtverletzung ab. Bei Verletzung der Pflicht zur lebenslangen Fortbildung kann die Aufsichtsbehörde eine Verwarnung, einen Verweis oder eine Busse bis zu Fr. 20'000. - anordnen (Art. 43 Abs. 1 lit. a-c i.V.m. Abs. 2 MedBG; vgl. Urteil 2C_523/2014 vom 18. März 2015 E. 2.2 mit Hinweisen).</w:t>
      </w:r>
    </w:p>
    <w:p>
      <w:r>
        <w:rPr>
          <w:b/>
        </w:rPr>
        <w:t>E. 2.3</w:t>
      </w:r>
    </w:p>
    <w:p>
      <w:r>
        <w:t>Die in Art. 40 MedBG verankerten Berufspflichten sind im Lichte der Standesregeln der Berufsorganisationen auszulegen. Die Pflicht zur Fortbildung wird im MedBG lediglich als Grundsatz festgelegt (Botschaft vom 3. Dezember 2004 zum MedBG, BBl 2005 173 ff. S. 228 f.). Die Standesregeln können - wie im Bereich der Freizügigkeit der Anwältinnen und Anwälte - die Berufspflichten von Personen, die einen Medizinalberuf ausüben, präzisieren. Sie dürfen jedoch die in Art. 40 MedBG abschliessend aufgezählten Pflichten nicht ergänzen (vgl. Urteil 2C_1083/2012 vom 21. Februar 2013 E. 5.1 mit Hinweisen).</w:t>
      </w:r>
    </w:p>
    <w:p>
      <w:r>
        <w:t>Die von Berufsorganisationen erlassenen Standesregeln stellen kein objektives Recht dar und sind nur für die Mitglieder der betreffenden Berufsorganisation direkt anwendbar. Gemäss bundesgerichtlicher Rechtsprechung ist es indes nicht verfassungswidrig und verletzt das Legalitätsprinzip nicht, wenn im Gesetz lediglich die grundsätzlichen Berufspflichten verankert werden, während deren Präzisierung durch die Standesregeln der Berufsorganisationen erfolgt ( BGE 124 I 310 E. 4b S. 315 mit Hinweis). Die massgebenden gesetzlichen Vorschriften müssen lediglich so präzise formuliert sein, dass der Einzelne sein Verhalten danach richten resp. die Folgen seines Verhaltens mit einem den Umständen entsprechenden Grad an Gewissheit erkennen kann ( BGE 108 Ia 316 E. 2b/aa S. 319).</w:t>
      </w:r>
    </w:p>
    <w:p>
      <w:r>
        <w:t>Die Lehre weist bezüglich der Präzisierung von offen formulierten Berufspflichten durch Standesregeln darauf hin, dass diese nicht immer im öffentlichen Interesse liegen würden. Ein Rückgriff auf selbige zur Präzisierung einer allgemein gehaltenen Berufsregel des Medizinalberufegesetzes müsse deshalb voraussetzen, dass die fragliche Standesregel nicht auf spezifische Interessen des Berufsstandes ausgerichtet sei, sondern die Sicherstellung einer qualitativ hochstehenden und zuverlässigen medizinischen Versorgung der Bevölkerung bezwecke (vgl. FELLMANN, a.a.O., Rz. 28 f. zu Art. 40; Urteil 2C_901/2012 vom 30. Januar 2013 E. 3.4 mit Hinweisen).</w:t>
      </w:r>
    </w:p>
    <w:p>
      <w:r>
        <w:rPr>
          <w:b/>
        </w:rPr>
        <w:t>E. 3.1</w:t>
      </w:r>
    </w:p>
    <w:p>
      <w:r>
        <w:t>Die Vorinstanz erwog, da das MedBG keine Regelung bezüglich des Fortbildungsumfangs enthalte, seien die Regelungen der Schweizerischen Zahnärzte-Gesellschaft (SSO) und der Vereinigung der Kantonszahnärztinnen und Kantonszahnärzte der Schweiz (VKZS) als Richtwerte heranzuziehen. Die Fortbildungsrichtlinien in Ausführung von Artikel 15 des Tarifvertrags (heute: Fortbildungsrichtlinien, Beilage 1 zu Anhang 3 [Vereinbarung zur Qualitätssicherung] zum Tarifvertrag zwischen der SSO und den Versicherern gemäss UVG, &lt;https://www.dentotar.ch/fileadmin/user_upload/4_Tarif/180101_Tarifvertrag_D.pdf&gt;, besucht am 14. März 2018) sehen vor, dass pro Kalenderjahr grundsätzlich 80 Stunden Fortbildung geleistet werden sollen, wovon 30 Stunden als Selbststudium anerkannt werden. Neben dem Selbststudium gelten wissenschaftliche und/oder praxisrelevante Programmteile von Veranstaltungen als Fortbildung, wobei die vermittelte Fortbildung in einem direkten Zusammenhang mit der Berufsausübung stehen muss. Nicht als praxisrelevante Fortbildung betrachtet werden Veranstaltungen auf den Gebieten allgemeine Persönlichkeitsschulung, Sprachtraining und Geldanlagemanagement (vgl. Fortbildungsrichtlinien, &lt;www.kantonszahnaerzte.ch/downloads/fortbildungsrichtlinien-dt.--neu.pdf&gt; und &lt;https://www.sso.ch/fileadmin/upload_sso/2_Zahnaerzte/1_Informationen/Fortbildungsrichtlinien_d.pdf&gt;, besucht am 14. März 2018). Gemäss VKZS wird davon ausgegangen, dass diese schweizweit gültigen Anforderungen adäquat sind, um die beruflichen Kenntnisse zu vertiefen, zu erweitern und zu verbessern (vgl. Berufspflicht MedBG, Lebenslange Fortbildung, &lt;www.kantonszahnaerzte.ch/downloads/berufspflicht-fortbildung-21-10-2010.pdf&gt;, besucht am 14. März 2018).</w:t>
      </w:r>
    </w:p>
    <w:p>
      <w:r>
        <w:t>Die von den Berufsorganisationen erlassenen Standesregeln stellen kein objektives Recht dar. Die von der Vorinstanz angewandten Bestimmungen zur Fortbildungspflicht bezwecken indes die Gewährleistung der Behandlungsqualität und dienen somit einem öffentlichen Interesse. Es spricht daher nichts dagegen, sie zur Präzisierung von Art. 40 lit. b MedBG beizuziehen (vgl. Urteil 2C_901/2012 vom 30. Januar 2013 E. 3.4 mit Hinweisen).</w:t>
      </w:r>
    </w:p>
    <w:p>
      <w:r>
        <w:rPr>
          <w:b/>
        </w:rPr>
        <w:t>E. 3.2</w:t>
      </w:r>
    </w:p>
    <w:p>
      <w:r>
        <w:t>Gemäss den vorinstanzlichen Erwägungen ist unbestritten, dass der Beschwerdeführer im Jahr 2013 keine Fortbildungsveranstaltungen besuchte, und dass 43.5 Fortbildungsstunden für das Jahr 2014 anerkannt werden können. Die Ausbildung zum "Golf-med-dent-Coach" und der "Essenzkurs: Wie Phönix aus der Asche" sowie die im Jahr 2015 besuchten Kurse im Bereich der "Neuen Anthropologie" bzw. "Amosophie" seien dagegen nicht zahnmedizinisch relevante Fortbildungen. Insbesondere sei kein direkter Zusammenhang mit den in der zahnärztlichen Ausbildung erlernten und durch Fortbildung zu erhaltenden Fähigkeiten oder mit der Berufstätigkeit als Zahnarzt ersichtlich. Entscheidend sei zudem, dass die "Amosophie" versicherungsrechtlich nicht als kassenpflichtige Alternativmedizin anerkannt sei und auch von den Zusatzversicherungen nicht vergütet werde. Der Beschwerdeführer sei mehrmals ausdrücklich auf seine Fortbildungspflicht aufmerksam gemacht worden und könne aus seiner angeblichen Rechtsunkenntnis ohnehin keine Vorteile ableiten. Die Busse von Fr. 2'000.- sei verhältnismässig und die Verpflichtung, die nicht absolvierte Fortbildung nachzuholen, sei nicht zu beanstanden.</w:t>
      </w:r>
    </w:p>
    <w:p>
      <w:r>
        <w:rPr>
          <w:b/>
        </w:rPr>
        <w:t>E. 4</w:t>
      </w:r>
    </w:p>
    <w:p>
      <w:r>
        <w:t>Der Beschwerdeführer hält diesen Erwägungen nichts Substanzielles entgegen. Soweit die vorliegende Beschwerde unter Anwendung der bei Laienbeschwerden üblichen wohlwollenden Betrachtungsweise den Begründungsanforderungen überhaupt genügt, erweist sie sich als unbegründet. Der Beschwerdeführer setzt sich weder mit den rechtlichen Grundlagen noch mit den vorinstanzlichen Erwägungen auseinander. Er beschränkt sich in seinen appellatorischen Ausführungen darauf, seinen bereits vorgetragenen Standpunkt zu wiederholen und allgemeine Kritik an der arbeitsmarktlichen Situation im Bereich der Zahnmedizin zu üben. Er vermag damit nicht darzulegen und es ist auch nicht ersichtlich, dass der angefochtene Entscheid Recht verletzen würde. Die nicht näher begründete Behauptung, die Nichtanerkennung seiner Ausbildung stelle einen Fall extremer Willkür und einen Angriff auf die Menschenrechte dar, genügt den Anforderungen an die Begründung gemäss Art. 106 Abs. 2 BGG offensichtlich nicht, sodass darauf nicht weiter einzugehen ist (vgl. E. 1.3 hiervor).</w:t>
      </w:r>
    </w:p>
    <w:p>
      <w:r>
        <w:t>Soweit der Beschwerdeführer erneut vorbringt, er sei im Jahr 2010 telefonisch von einem Mitarbeiter des Amts für Gesundheit dahingehend falsch beraten worden, dass ihn die Weiterbildung nicht betreffe, kann auf die vorinstanzlichen Erwägungen verwiesen werden. Nachdem er unbestrittenermassen im November 2011 vom Kantonszahnarzt des Kantons Zürich und im Februar 2012 vom Amt für Gesundheit des Kantons Freiburg auf seine Fortbildungspflicht aufmerksam gemacht wurde, wäre die angebliche Fehlinformation für die vorliegend strittigen Jahre 2013-2015 ohnehin nicht von Bedeutung.</w:t>
      </w:r>
    </w:p>
    <w:p>
      <w:r>
        <w:rPr>
          <w:b/>
        </w:rPr>
        <w:t>E. 5.1</w:t>
      </w:r>
    </w:p>
    <w:p>
      <w:r>
        <w:t>Nach dem Gesagten erweist sich die Beschwerde in öffentlich-rechtlichen Angelegenheiten als unbegründet und ist abzuweisen.</w:t>
      </w:r>
    </w:p>
    <w:p>
      <w:r>
        <w:rPr>
          <w:b/>
        </w:rPr>
        <w:t>E. 5.2</w:t>
      </w:r>
    </w:p>
    <w:p>
      <w:r>
        <w:t>Angesichts der Sach- und Rechtslage bestanden vorliegend keine realistischen Erfolgsaussichten. Die Beschwerde erweist sich damit als aussichtslos. Das Gesuch um unentgeltliche Rechtspflege ist abzuweisen ( Art. 64 BGG ; BGE 140 V 521 E. 9.1 S. 537 mit Hinweisen). Die Gerichtskosten sind dem unterliegenden Beschwerdeführer aufzuerlegen ( Art. 65 und Art. 66 Abs. 1 BGG ). Bei der Festsetzung der Höhe der Kosten wird dem Umstand Rechnung getragen, dass über das Gesuch um unentgeltliche Rechtspflege und Verbeiständung nicht vorweg entschieden wurde, was es ihm ermöglicht hätte, seine Eingabe allenfalls noch zurückzuziehen.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