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2C_782/2013 vom 3. April 2014</w:t>
      </w:r>
    </w:p>
    <w:p>
      <w:r>
        <w:t>Bundesgericht, 2014-04-03, DE</w:t>
      </w:r>
    </w:p>
    <w:p>
      <w:r>
        <w:rPr>
          <w:b/>
        </w:rPr>
        <w:t xml:space="preserve">Quelle: </w:t>
      </w:r>
      <w:r>
        <w:t>https://mcp.opencaselaw.ch/entscheid/bger_2C_782_2013</w:t>
      </w:r>
    </w:p>
    <w:p>
      <w:r>
        <w:t>FR: TF 2C_782/2013 du 3 avril 2014</w:t>
      </w:r>
    </w:p>
    <w:p>
      <w:r>
        <w:t>IT: TF 2C_782/2013 del 3 aprile 2014</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[e contrario], Art. 86 Abs. 1 lit. d und Art. 90 BGG ; BGE 135 II 1 E. 1.2.1 S.4). Als Adressat des angefochtenen Urteils ist der Beschwerdeführer zur Ergreifung des Rechtsmittels legitimiert ( Art. 89 Abs. 1 BGG ). Da auch die übrigen Sachurteilsvoraussetzungen erfüllt sind, ist auf die Beschwerde einzutreten.</w:t>
      </w:r>
    </w:p>
    <w:p>
      <w:r>
        <w:rPr>
          <w:b/>
        </w:rPr>
        <w:t>E. 1.2</w:t>
      </w:r>
    </w:p>
    <w:p>
      <w:r>
        <w:t>Das Bundesgericht prüft frei die Anwendung von Bundesrecht mit Einschluss des Verfassungs- und Völkerrechts ( Art. 95 lit. a und b BGG ). Es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 Art. 106 Abs. 2 BGG ; BGE 136 II 304 E. 2.5 S. 314 mit Hinweisen), setzt zudem voraus, dass die Behebung des Mangels für den Ausgang des Verfahrens entscheidend sein kann ( Art. 97 Abs. 1 BGG ).</w:t>
      </w:r>
    </w:p>
    <w:p>
      <w:r>
        <w:rPr>
          <w:b/>
        </w:rPr>
        <w:t>E. 2</w:t>
      </w:r>
    </w:p>
    <w:p>
      <w:r>
        <w:t>Die Niederlassungsbewilligung kann gemäss Art. 63 Abs. 1 lit. a i.V.m. Art. 62 lit. b des Bundesgesetzes vom 16. Dezember 2005 über die Ausländerinnen und Ausländer (Ausländergesetz, AuG; SR 142.20) widerrufen werden, wenn der Ausländer zu einer längerfristigen Freiheitsstrafe, d.h. zu einer Strafe von mehr als einem Jahr ( BGE 135 II 377 E. 4.2 und 4.5), verurteilt wurde. Keine Rolle spielt, ob die Sanktion bedingt, teilbedingt oder unbedingt ausgesprochen wurde (vgl. statt vieler Urteil 2C_136/2013 vom 30. Oktober 2013 E. 2.).</w:t>
      </w:r>
    </w:p>
    <w:p>
      <w:r>
        <w:t>Mit der Verurteilung des Beschwerdeführers u.a. zu einer Freiheitsstrafe von 30 Monaten ist der Widerrufsgrund von Art. 63 Abs. 1 lit. a i.V.m. Art. 62 lit. b AuG ohne Weiteres erfüllt. Der Beschwerdeführer stellt dies denn auch nicht in Abrede. Er rügt aber eine offensichtlich unrichtige Sachverhaltsermittlung und macht geltend, der Widerruf der Niederlassungsbewilligung erweise sich als unverhältnismässig.</w:t>
      </w:r>
    </w:p>
    <w:p>
      <w:r>
        <w:rPr>
          <w:b/>
        </w:rPr>
        <w:t>E. 3</w:t>
      </w:r>
    </w:p>
    <w:p>
      <w:r>
        <w:t>Im Zusammenhang mit dem Verkehrsdelikt von 2008 lässt er vortragen, er habe damals "niemanden gefährdet". Die gegenteilige Feststellung des Verwaltungsgerichts sei aktenwidrig. Für den migrationsrechtlichen Entscheid müsse davon ausgegangen werden, dass er bei keinem seiner Delikte in irgendeiner Form Leib und Leben anderer Menschen gefährdet habe.</w:t>
      </w:r>
    </w:p>
    <w:p>
      <w:r>
        <w:t>Die Vorinstanz hat erwogen, der Beschwerdeführer habe andere Verkehrsteilnehmer "in Gefahr" gebracht, ohne zu präzisieren, ob er dies abstrakt oder konkret getan hat. Daraus ergibt sich aber nicht, dass die zur Beurteilung dieser Rechtsfrage erforderlichen tatsächlichen Verhältnisse offensichtlich unrichtig festgestellt worden wären ( BGE 114 IV 63 nicht publ. E. 4) : Nach den verbindlichen Feststellungen des Verwaltungsgerichts fuhr der Beschwerdeführer zunächst mit massiv überhöhter Geschwindigkeit durch die Strassen und schliesslich in einen Baum. Aus dem Urteil des Obergerichts vom 24. Februar 2012 ergibt sich überdies, dass der Beschwerdeführer nicht bloss der einfachen, sondern der groben Verletzung der Verkehrsregeln im Sinne von Art. 90 Abs. 2 SVG schuldig gesprochen wurde, d.h. er hat eine wichtige Verkehrsvorschrift in objektiv schwerer Weise missachtet und die Verkehrssicherheit ernstlich gefährdet. Eine ernstliche Gefahr für die Sicherheit anderer ist nicht erst bei einer konkreten, sondern bereits bei einer erhöhten abstrakten Gefährdung gegeben ( BGE 131 IV 133 E. 3.2 S. 136). Eine solche liegt hier jedenfalls vor, nachdem der Beschwerdeführer innerorts um mindestens 50 km/h zu schnell gefahren ist (so schon das erstinstanzliche Urteil des Bezirksgerichts vom 26. Juli 2011, S. 73). Diese sehr massive Überschreitung der Höchstgeschwindigkeit stellt eine beträchtliche Gefährdung für andere dar und offenbart ein erhebliches Mass an Rücksichtslosigkeit (vgl. Urteil 2C_536/2013 vom 30. Dezember 2013 E. 2.5.3, unter Verweis auf Art. 90 Abs. 3 und 4 SVG in der Fassung vom 15. Juni 2012). Dies fällt auch im Rahmen der nachfolgenden Verhältnismässigkeitsprüfung ganz erheblich zu Lasten des Beschwerdeführers ins Gewicht (vgl. sogleich).</w:t>
      </w:r>
    </w:p>
    <w:p>
      <w:r>
        <w:rPr>
          <w:b/>
        </w:rPr>
        <w:t>E. 4.1</w:t>
      </w:r>
    </w:p>
    <w:p>
      <w:r>
        <w:t>Der Widerruf der Niederlassungsbewilligung muss - wie jedes staatliche Handeln - verhältnismässig sein (vgl. Art. 5 Abs. 2 BV ; Art. 96 AuG).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381).Was das Fernhalteinteresse anbetrifft, so darf bei Ausländern, welche sich - wie hier -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 (vgl. Urteile 2C_1026/2011 vom 23. Juli 2012 E. 3, 2C_679/2011 vom 21. Februar 2012, E. 3.1). Die Niederlassungsbewilligung eines Ausländers, der sich schon seit langer Zeit hier aufhält, soll allerdings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das Urteil des EGMR</w:t>
      </w:r>
    </w:p>
    <w:p>
      <w:r>
        <w:t>Trabelsi</w:t>
      </w:r>
    </w:p>
    <w:p>
      <w:r>
        <w:t>gegen Deutschland vom 13. Oktober 2011 [Nr. 41548/06] §§ 53 ff. bezüglich der Ausweisung eines in Deutschland geborenen, wiederholt straffällig gewordenen Tunesiers). Bei schweren Straftaten und bei Rückfall bzw. wiederholter Delinquenz besteht regelmässig ein wesentliches öffentliches Interesse, die Anwesenheit eines Ausländers zu beenden, der dermassen die öffentliche Sicherheit und Ordnung beeinträchtigt (vgl. BGE 139 I 31 E. 2.3.1 S. 33 mit zahlreichen Hinweisen auf die Praxis). Die Verurteilung zu einer Freiheitsstrafe von mehr als zwei Jahren impliziert einen sehr schwerwiegenden Verstoss gegen die schweizerische Rechtsordnung ( BGE 135 II 377 E. 4.4; Urteile 2C_948/2011 vom 11. Juli 2012 E. 3.4.4; 2C_844/2013 vom 6. März 2014 E. 5.7).</w:t>
      </w:r>
    </w:p>
    <w:p>
      <w:r>
        <w:rPr>
          <w:b/>
        </w:rPr>
        <w:t>E. 4.2</w:t>
      </w:r>
    </w:p>
    <w:p>
      <w:r>
        <w:t>Vorliegend fallen zwar keine eigentlichen Gewaltdelikte gegen Personen in Betracht. Der Beschwerdeführer hat aber eine grosse Zahl von Delikten begangen, dabei eine hohe kriminelle Energie gezeigt und grossen Schaden verursacht (vgl. vorne insbesondere lit. A.b.). Die Delikte beging er zudem nicht etwa als Jugendlicher, sondern bereits im Erwachsenenalter. Von laufenden Strafuntersuchungen und ausgestandener Untersuchungshaft liess er sich auch beim Vorfall vom 2./3. Oktober 2008 offensichtlich nicht beeindrucken, was als erhebliche Trübung gewertet werden muss (unabhängig davon, ob er andere Verkehrsteilnehmer in konkrete Gefahr gebracht hat).</w:t>
      </w:r>
    </w:p>
    <w:p>
      <w:r>
        <w:rPr>
          <w:b/>
        </w:rPr>
        <w:t>E. 4.3</w:t>
      </w:r>
    </w:p>
    <w:p>
      <w:r>
        <w:t>Zu Gunsten des Beschwerdeführers sprechen die Aufenthaltsdauer in der Schweiz (seit 1995) und eine mittlerweile längere deliktsfreie Zeit. Ersteres schliesst aber den Widerruf der Niederlassungsbewilligung nicht aus (vorne E. 4.1), und zudem ist der Zeitablauf insoweit zu relativieren, als die Migrationsbehörden vor dem Erlass der Widerrufsverfügung das rechtskräftige Strafurteil abwarten mussten.</w:t>
      </w:r>
    </w:p>
    <w:p>
      <w:r>
        <w:t>Was die von Art. 8 EMRK geschützten Garantien betrifft, kann der Beschwerdeführer mit Blick auf die Achtung des Privatlebens schon angesichts der begangenen Delikte sowie seiner Schulden nicht als besonders gut integriert gelten. Besonders intensive private Beziehungen beruflicher oder gesellschaftlicher Natur, die ihm allenfalls gestützt auf diese Garantie einen Aufenthaltsanspruch verschaffen könnten ( BGE 130 II 281 E. 3.2.1 S. 286; 126 II 377 E. 2c S. 384 ff.; 120 Ib 16 E. 3b S. 22), sind nicht dargetan.</w:t>
      </w:r>
    </w:p>
    <w:p>
      <w:r>
        <w:t>Im Bereich der Garantie auf Achtung des Familienlebens geht die Vorinstanz zwar von der Anwendbarkeit von Art. 8 EMRK aus, weil die Tochter des Beschwerdeführers im Besitz der Niederlassungsbewilligung ist. Die Tochter hat allerdings diese Bewilligung einzig abgeleitet von derjenigen des Beschwerdeführers erhalten. Auch dann ist die Garantie nicht tangiert, wenn es den in der Schweiz anwesenheitsberechtigten Familienmitgliedern "ohne Schwierigkeiten" möglich ist, mit der ausländischen Person auszureisen ( BGE 135 I 143 E. 2.2 S. 147, 153 E. 2.1 S. 154 f.; 116 Ib 353 E. 3c S. 357). Im hier zu beurteilenden Fall ist die Ehefrau des Beschwerdeführers Serbin, die selber bis vor kurzem dort gelebt hat, wo sich auch ihre Familie befindet. Sodann ist im Rahmen der Interessenabwägung praxisgemäss zu gewichten, dass die Heirat in einem Zeitpunkt geschlossen wurde, als das Strafverfahren gegen den Beschwerdeführer bereits im Gange war und die Ehefrau nicht ohne Weiteres damit rechnen konnte, das Familienleben in der Schweiz zu leben (vgl. BGE 139 I 145 E. 2.4 S. 149). Ihr ist - wie dem Beschwerdeführer selber, der nach den verbindlichen Feststellungen der Vorinstanz serbisch spricht, mehrfach dorthin gereist ist und mit der dortigen Kultur genügend vertraut blieb - die Ausreise zuzumuten. Gleiches gilt für die Tochter, die sich noch in einem anpassungsfähigen Alter befindet ( BGE 135 I 143 E. 2.2 S. 147).</w:t>
      </w:r>
    </w:p>
    <w:p>
      <w:r>
        <w:rPr>
          <w:b/>
        </w:rPr>
        <w:t>E. 5</w:t>
      </w:r>
    </w:p>
    <w:p>
      <w:r>
        <w:t>Die Beschwerde ist daher unbegründet und abzuweisen. Bei diesem Ausgang des Verfahrens trägt der Beschwerdeführer die Kosten des bundesgerichtlichen Verfahrens ( Art. 66 Abs. 1 BGG ). Die nachgesuchte unentgeltliche Rechtspflege kann infolge Aussichtslosigkeit der Beschwerde nicht gewährt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