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781/2018 vom 28. August 2019</w:t>
      </w:r>
    </w:p>
    <w:p>
      <w:r>
        <w:t>Bundesgericht, 2019-08-28, FR</w:t>
      </w:r>
    </w:p>
    <w:p>
      <w:r>
        <w:rPr>
          <w:b/>
        </w:rPr>
        <w:t xml:space="preserve">Quelle: </w:t>
      </w:r>
      <w:r>
        <w:t>https://mcp.opencaselaw.ch/entscheid/bger_2C_781_2018</w:t>
      </w:r>
    </w:p>
    <w:p>
      <w:r>
        <w:t>FR: TF 2C 781/2018 du 28 août 2019</w:t>
      </w:r>
    </w:p>
    <w:p>
      <w:r>
        <w:t>IT: TF 2C 781/2018 del 28 agosto 2019</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w:t>
      </w:r>
    </w:p>
    <w:p>
      <w:r>
        <w:rPr>
          <w:b/>
        </w:rPr>
        <w:t>E. 1.2</w:t>
      </w:r>
    </w:p>
    <w:p>
      <w:r>
        <w:t>En vertu de l'art. 14 al. 2 de l'ordonnance fédérale du 17 novembre 1999 sur l'organisation du Département fédéral de justice et police (Org DFJP; RS 172.213.1), le Secrétariat d'Etat a qualité pour recourir devant le Tribunal fédéral ( art. 89 al. 2 let. a LTF ), dans le domaine du droit des étrangers, contre une décision qui infirme la révocation de l'autorisation d'établissement de l'intimé.</w:t>
      </w:r>
    </w:p>
    <w:p>
      <w:r>
        <w:rPr>
          <w:b/>
        </w:rPr>
        <w:t>E. 1.3</w:t>
      </w:r>
    </w:p>
    <w:p>
      <w:r>
        <w:t>Au surplus, le recours est dirigé contre un jugement final ( art. 90 LTF ) rendu dans une cause de droit public ( art. 82 let. a LTF ) par un tribunal supérieur de dernière instance cantonale ( art. 86 al. 1 let . d et al. 2 LTF). Déposé dans le délai ( art. 100 al. 1 LTF ) et la forme ( art. 42 LTF ) prévus par la loi, le recours est recevable.</w:t>
      </w:r>
    </w:p>
    <w:p>
      <w:r>
        <w:rPr>
          <w:b/>
        </w:rPr>
        <w:t>E. 2.1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Lorsque, comme en l'espèce,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133 III 393 consid. 7.1 p. 398; 129 I 8 consid. 2.1 p. 9). Il appartient toutefois à la partie recourante d'invoquer ce grief et de le motiver d'une manière suffisante ( art. 106 al. 2 LTF ). Elle doit donc préciser en quoi l'appréciation attaquée serait arbitraire, ne reposerait sur aucun motif sérieux et objectif, apparaîtrait insoutenable ou heurterait gravement le sens de la justice ( ATF 133 II 396 consid. 3.2 p. 400; 128 I 295 consid. 7a p. 312). Les faits et les critiques invoqués de manière appellatoire sont irrecevables ( ATF 137 II 353 consid. 5.1 p. 356). Par ailleurs, aucun fait nouveau ni preuve nouvelle ne peut en principe être présenté devant le Tribunal de céans ( art. 99 al. 1 LTF ).</w:t>
      </w:r>
    </w:p>
    <w:p>
      <w:r>
        <w:rPr>
          <w:b/>
        </w:rPr>
        <w:t>E. 2.2</w:t>
      </w:r>
    </w:p>
    <w:p>
      <w:r>
        <w:t>Le recourant présente les faits de la cause dans un chapitre ad hoc de son mémoire sans exposer en quoi les conditions de l' art. 97 al. 1 LTF seraient remplies. Il n'y a pas lieu d'en tenir compte. Pour le surplus, dans le chapitre en droit de son mémoire (ch. 11), le recourant s'écarte indûment des faits retenus dans l'arrêt attaqué en affirmant que l'intimé était déjà sous le coup d'une condamnation à une peine de trois ans et six mois de privation de liberté lorsqu'il a conduit en état d'ébriété en 2013, puisqu'une seule condamnation a été prononcée à son encontre le 7 mars 2014. Enfin, sous les chiffres 12 ss du chapitre en droit de son mémoire, le recourant critique le poids accordé par l'instance précédente à l'audition de l'intimé et à son bon comportement en prison : en tant qu'il s'en prend à l'appréciation des preuves par l'instance précédente, ses griefs doivent être écartés puisqu'il n'expose pas en quoi l'appréciation de ces moyens de preuve serait insoutenable. En tant qu'il remet en cause la pondération des critères dans l'examen du respect du principe de proportionnalité, ses griefs seront examinés ci-dessous.</w:t>
      </w:r>
    </w:p>
    <w:p>
      <w:r>
        <w:rPr>
          <w:b/>
        </w:rPr>
        <w:t>E. 3.1</w:t>
      </w:r>
    </w:p>
    <w:p>
      <w:r>
        <w:t>En raison de sa condamnation à trois ans et six mois de peine privative de liberté, l'intimé remplit la condition de la peine de longue durée de l'art. 62 al. 1 let. b de la loi du 16 décembre 2005 sur les étrangers et l'intégration (LEI; RS 142.20, nouveau titre dès le 1er janvier 2019 [RO 2017 6521]), par renvoi de l' art. 63 al. 1 let. a et al. 2 LEI , justifiant la révocation de son autorisation d'établissement (cf. ATF 139 I 16 consid. 2.1 p. 18). Les parties ne le contestent pas. Le recourant s'en prend uniquement, sous l'angle des art. 96 al. 1 et 8 § 2 CEDH , à la pesée des intérêts effectuée par l'instance précédente, qui aurait, selon lui, rendu une décision violant le principe de proportionnalité.</w:t>
      </w:r>
    </w:p>
    <w:p>
      <w:r>
        <w:rPr>
          <w:b/>
        </w:rPr>
        <w:t>E. 3.2</w:t>
      </w:r>
    </w:p>
    <w:p>
      <w:r>
        <w:t>Seule se pose donc la question de savoir si l'annulation de la révocation de l'autorisation d'établissement de l'intimé par la Cour de justice est proportionnée au sens de l' art. 96 al. 1 LEI et 8 § 2 CEDH . La pesée globale des intérêts requise par l' art. 96 al. 1 LEI est analogue à celle requise par les art. 8 par. 2 CEDH et 13 al. 1 Cst. et peut être effectuée conjointement à celle-ci (cf. arrêt 2C_806/2018 du 20 mars 2019 consid. 6.1 et les références citées).</w:t>
      </w:r>
    </w:p>
    <w:p>
      <w:r>
        <w:rPr>
          <w:b/>
        </w:rPr>
        <w:t>E. 4.1</w:t>
      </w:r>
    </w:p>
    <w:p>
      <w:r>
        <w:t>En vertu de l' art. 96 al. 1 LEI , les autorités compétentes tiennent compte, en exerçant leur pouvoir d'appréciation, des intérêts publics, de la situation personnelle de l'étranger, ainsi que de son intégration.</w:t>
      </w:r>
    </w:p>
    <w:p>
      <w:r>
        <w:rPr>
          <w:b/>
        </w:rPr>
        <w:t>E. 4.2</w:t>
      </w:r>
    </w:p>
    <w:p>
      <w:r>
        <w:t>De jurisprudence constante, rendue en application des art. 96 al. 1 LEI et 8 § 2 CEDH , il y a lieu, lors de l'examen de la proportionnalité, de prendre concrètement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contestée,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 ATF 139 I 31 consid. 2.3.1 p. 33; 139 I 16 consid. 2.2.1 p. 19; 135 II 377 consid. 4.3 p. 381; arrêt 2C_365/2013 du 30 août 2013 consid. 2.3 non publié in ATF 139 I 325 et les références citées).</w:t>
      </w:r>
    </w:p>
    <w:p>
      <w:r>
        <w:rPr>
          <w:b/>
        </w:rPr>
        <w:t>E. 4.3</w:t>
      </w:r>
    </w:p>
    <w:p>
      <w:r>
        <w:t>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 Pour évaluer la menace que représente un étranger condamné pénalement, le Tribunal fédéral se montre particulièrement rigoureux en présence d'infractions à la législation fédérale sur les stupéfiants, d'actes de violence criminelle et d'infractions contre l'intégrité sexuelle ( ATF 139 II 121 consid. 5.3 p. 126; arrêt 2C_121/2014 du 17 juillet 2014 consid. 3.2). Lors d'infractions pénales graves, il existe, sous réserve de liens personnels ou familiaux prépondérants, un intérêt public digne de protection à mettre fin au séjour d'un étranger afin de préserver l'ordre public et à prévenir de nouveaux actes délictueux. S'agissant du risque de récidive, il est de toute façon attendu du délinquant qu'il se comporte de manière adéquate durant l'exécution de sa peine ( ATF 139 II 121 consid. 5.5.2 p. 128).</w:t>
      </w:r>
    </w:p>
    <w:p>
      <w:r>
        <w:rPr>
          <w:b/>
        </w:rPr>
        <w:t>E. 4.4</w:t>
      </w:r>
    </w:p>
    <w:p>
      <w:r>
        <w:t>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139 I 16 consid. 2.2.1 p. 19 ss; 139 I 31 consid. 2.3.1 p. 33 ss). C'est à la lumière de ces principes qu'il convient d'examiner la proportionnalité de la mesure prononcée par le Département.</w:t>
      </w:r>
    </w:p>
    <w:p>
      <w:r>
        <w:rPr>
          <w:b/>
        </w:rPr>
        <w:t>E. 5.1</w:t>
      </w:r>
    </w:p>
    <w:p>
      <w:r>
        <w:t>En l'espèce, l'intimé a été condamné en mars 2014 à une peine privative de liberté de 3 ans et 6 mois pour actes d'ordre sexuel, contrainte sexuelle, tentative de viol et d'instigation à tentative d'encouragement à la prostitution sur une mineure de 14 ans en 2009 ainsi que de conduite d'un véhicule en état d'ébriété qualifiée en 2013. Hormis le caractère objectivement grave de la conduite en état d'ébriété aggravé, il y a lieu de qualifier d'odieux le comportement pleinement responsable de l'intimé jouissant d'une bonne situation personnelle et sociale à l'égard, d'abord, d'une mère faible parce que dépendante de la drogue mais surtout à l'encontre d'une enfant de 14 ans. Le développement et le devenir d'adulte de cette dernière a été gravement mis à mal pour des motifs égoïstes, d'autant plus détestables que l'intimé, qui n'est pas parvenu à ses fins une première fois, a tenté de faire respecter un deuxième contrat identique et qu'il a essayé, au cours de la procédure pénale, de nier et de minimiser ses actes. Quand bien même il a, à ce jour, réglé la totalité de l'indemnité pour tort moral due à sa victime ainsi que les frais de justice de celle-ci et lui a écrit une lettre d'excuses, tout en respectant l'interdiction qui lui a été faite d'entrer en contact avec elle, il n'en demeure pas moins que son comportement a porté atteinte grave à l'intégrité sexuelle d'une enfant mineure, ce qui constitue une faute très lourde et une infraction pour laquelle le législateur a entendu se montrer intransigeant (cf. art. 121 al. 3 let. a Cst. et 66a al. 1 let. h CP). Dans ces circonstances, seuls des éléments exceptionnels permettraient de faire pencher la balance en la faveur de l'intéressé.</w:t>
      </w:r>
    </w:p>
    <w:p>
      <w:r>
        <w:rPr>
          <w:b/>
        </w:rPr>
        <w:t>E. 5.2</w:t>
      </w:r>
    </w:p>
    <w:p>
      <w:r>
        <w:t>Parmi les circonstances qui doivent être prises en considération, figurent, il est vrai, l'absence de casier judiciaire de l'intimé avant sa condamnation et l'absence de toute nouvelle infraction jusqu'à son incarcération le 13 décembre 2016. Il ressort également des rapports notamment des 4 mai 2017 et 13 mars 2018 de l'établissement pénitentiaire, de la décision du Service de l'application des peines et mesures du 19 décembre 2017 et du procès-verbal de comparution personnelle de l'intimé devant l'instance précédente le 17 avril 2018 ainsi que des conclusions du rapport d'expertise sur le risque de récidive de juillet 2017 que l'intimé se montre engagé et coopératif dans l'élaboration des plans d'exécution de sa sanction, dont les objectifs ont été atteints jusqu'à ce jour; ils montrent également que l'intimé est ponctuel, adéquat, motivé, amical et correct, qu'il a la volonté de ne plus commettre d'infraction, qu'il a du remord et qu'il a reconnu la gravité de sa faute et la nécessité d'entreprendre toutes démarches utiles pour que cet acte grave mais isolé ne se reproduise plus et qu'il présente un faible risque de récidive.</w:t>
      </w:r>
    </w:p>
    <w:p>
      <w:r>
        <w:rPr>
          <w:b/>
        </w:rPr>
        <w:t>E. 5.3</w:t>
      </w:r>
    </w:p>
    <w:p>
      <w:r>
        <w:t>Il est vrai aussi, sur le plan personnel, que l'intimé est arrivé en Suisse en janvier 1979 et qu'il y vit depuis plus de 40 ans de son travail et n'a jamais eu recours à l'aide sociale. C'est le lieu de souligner toutefois que l'intimé a néanmoins vécu les 27 premières années de sa vie aux Etats-Unis, dont il maîtrise encore la langue et connaît le mode de vie et où vit son fils.</w:t>
      </w:r>
    </w:p>
    <w:p>
      <w:r>
        <w:rPr>
          <w:b/>
        </w:rPr>
        <w:t>E. 5.4</w:t>
      </w:r>
    </w:p>
    <w:p>
      <w:r>
        <w:t>Il est vrai enfin, sur le plan familial, que l'intimé entretient en Suisse de bonnes relations avec sa fille majeure, sa petite-fille et sa belle-soeur de même qu'avec son épouse, malgré les difficultés et l'incarcération, de sorte que la révocation de l'autorisation d'établissement aurait pour effet de mettre l'épouse de l'intimé dans la situation de devoir se séparer de son mari ou de quitter sa famille en Suisse, en particulier sa soeur, sa fille et sa petite fille récemment née, ses amis et son réseau de soins médicaux. Il faut cependant également constater que, pour avoir travaillé au service de U.________, l'épouse de l'intimé a toutefois l'habitude de changer de lieu de vie et que les soins dont elle et l'intimé ont besoin en raison de leur âge avancé et de leur état de santé physique et psychique pourraient aussi bien être dispensés aux Etats-Unis. Ils y retrouveraient d'ailleurs leur fils tandis que le contact avec le reste de la famille pourrait être maintenu par les moyens de communications modernes et des voyages.</w:t>
      </w:r>
    </w:p>
    <w:p>
      <w:r>
        <w:rPr>
          <w:b/>
        </w:rPr>
        <w:t>E. 5.5</w:t>
      </w:r>
    </w:p>
    <w:p>
      <w:r>
        <w:t>Enfin, la situation de l'intimé peut être rapprochée de celle d'un ressortissant allemand, également au bénéfice d'une autorisation d'établissement, qui avait été condamné à une peine privative de liberté de vingt-quatre mois pour des actes sexuels sur sa fille et qui a dû quitter la Suisse, alors qu'il était né dans ce pays, y avait de la famille et y était intégré socialement et professionnellement (cf. arrêt 2C_787/2015 du 29 mars 2016). Elle peut aussi être rapprochée de celle d'un ressortissant italien condamné à une peine de deux ans et neuf mois pour contrainte sexuelle et actes d'ordre sexuel avec des enfants qui lui a aussi valu révocation de son autorisation d'établissement (arrêt 2C_976/2017 du 8 février 2018).</w:t>
      </w:r>
    </w:p>
    <w:p>
      <w:r>
        <w:rPr>
          <w:b/>
        </w:rPr>
        <w:t>E. 5.6</w:t>
      </w:r>
    </w:p>
    <w:p>
      <w:r>
        <w:t>Au vu de l'ensemble des circonstances, de la jurisprudence dans des causes comparables et de l'extrême gravité de l'atteinte à l'intégrité sexuelle d'une enfant mineure, l'intérêt public à éloigner l'intimé de la Suisse l'emporte sur son intérêt privé à rester en Suisse. Il y a lieu d'admettre le recours.</w:t>
      </w:r>
    </w:p>
    <w:p>
      <w:r>
        <w:rPr>
          <w:b/>
        </w:rPr>
        <w:t>E. 6</w:t>
      </w:r>
    </w:p>
    <w:p>
      <w:r>
        <w:t>Les considérants qui précèdent conduisent à l'admission du recours et à l'annulation de l'arrêt rendu le 7 août 2018 par la Cour de justice du canton de Genève. Le jugement du 23 mars 2017 du Tribunal de première instance est confirmé. Le dossier est renvoyé au Département de la sécurité, afin qu'il fixe un nouveau délai de départ à l'intimé. Succombant, l'intimé doit supporter les frais judiciaires ( art. 66 al. 1 LTF ). Aucun dépens n'est alloué au Secrétariat d'Etat aux migrations, qui obtient gain de cause dans l'exercice de ses attributions officielles ( art. 68 al. 1 et 3 LTF ). L'affaire est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