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779/2011 vom 6. August 2012</w:t>
      </w:r>
    </w:p>
    <w:p>
      <w:r>
        <w:t>Bundesgericht, 2012-08-06, DE</w:t>
      </w:r>
    </w:p>
    <w:p>
      <w:r>
        <w:rPr>
          <w:b/>
        </w:rPr>
        <w:t xml:space="preserve">Quelle: </w:t>
      </w:r>
      <w:r>
        <w:t>https://mcp.opencaselaw.ch/entscheid/bger_2C_779_2011</w:t>
      </w:r>
    </w:p>
    <w:p>
      <w:r>
        <w:t>FR: TF 2C 779/2011 du 6 août 2012</w:t>
      </w:r>
    </w:p>
    <w:p>
      <w:r>
        <w:t>IT: TF 2C 779/2011 del 6 agosto 2012</w:t>
      </w:r>
    </w:p>
    <w:p>
      <w:pPr>
        <w:pStyle w:val="Heading2"/>
      </w:pPr>
      <w:r>
        <w:t>Regeste</w:t>
      </w:r>
    </w:p>
    <w:p>
      <w:r>
        <w:t>Ausweisung | Bürgerrecht und Ausländerrecht</w:t>
      </w:r>
    </w:p>
    <w:p>
      <w:pPr>
        <w:pStyle w:val="Heading2"/>
      </w:pPr>
      <w:r>
        <w:t>Erwägungen</w:t>
      </w:r>
    </w:p>
    <w:p>
      <w:r>
        <w:rPr>
          <w:b/>
        </w:rPr>
        <w:t>E. 1.1</w:t>
      </w:r>
    </w:p>
    <w:p>
      <w:r>
        <w:t>Angefochten ist ein letztinstanzlicher kantonaler Endentscheid über eine gestützt auf Art. 10 Abs. 1 lit. a und lit. b des Bundesgesetzes vom 26. März 1931 über Aufenthalt und Niederlassung der Ausländer (ANAG; BS 1 121) verfügte Ausweisung, wogegen die Beschwerde in öffentlich-rechtlichen Angelegenheiten zulässig ist ( Art. 83 lit. c BGG Ziff. 4 e contrario; Urteil 2C_903/2010 vom 6. Juni 2011 E. 1, nicht publ. in: BGE 137 II 233 ff.). Der Beschwerdeführer ist hierzu legitimiert ( Art. 89 Abs. 1 BGG ).</w:t>
      </w:r>
    </w:p>
    <w:p>
      <w:r>
        <w:rPr>
          <w:b/>
        </w:rPr>
        <w:t>E. 1.2</w:t>
      </w:r>
    </w:p>
    <w:p>
      <w:r>
        <w:t>Zwar ist am 1. Januar 2008 das Bundesgesetz vom 16. Dezember 2005 über die Ausländerinnen und Ausländer (AuG; SR 142.20) in Kraft getreten. Praxisgemäss bleibt indessen, in analoger Anwendung von Art. 126 Abs. 1 AuG, das bisherige Recht anwendbar, wenn ein Ausweisungsverfahren noch vor Inkrafttreten des neuen Rechts eingeleitet worden ist (Urteil 2C_329/2009 vom 14. September 2009 E. 2.1 mit Hinweisen). Wie sich aus dem Schreiben des kantonalen Migrationsamtes vom 23. Juli 2007, mit welchem dem Beschwerdeführer das rechtliche Gehör gewährt wurde, ergibt, ist das Ausweisungsverfahren vor dem 1. Januar 2008 eingeleitet worden. Unerheblich ist, dass dies nicht auf ein Gesuch hin, sondern von Amtes wegen geschah, und dass die Ausweisung selber erst nach dem Inkrafttreten des neuen Rechts verfügt worden ist (vgl. Urteile 2C_745/2008 vom 24. Februar 2009, E. 1.2.2-1.2.4, und 2C_701/2008 vom 26. Februar 2009 E. 2).</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BGE 134 II 244 E. 2.1 S. 245 f.), grundsätzlich nur die geltend gemachten Rügen, sofern die rechtlichen Mängel nicht geradezu offensichtlich sind. Eine qualifizierte Rügepflicht gilt u.a. hinsichtlich der Verletzung von Grundrechten. Das Bundesgericht prüft solche Rügen nur, wenn sie in der Beschwerde präzise vorgebracht und begründet worden sind ( Art. 106 Abs. 2 BGG ; vgl. BGE 134 II 244 E. 2.2 S. 246 mit Hinweisen).</w:t>
      </w:r>
    </w:p>
    <w:p>
      <w:r>
        <w:rPr>
          <w:b/>
        </w:rPr>
        <w:t>E. 1.4</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 vgl. BGE 135 I 143 E. 1.5 S. 146 f.). Die neu eingereichten Beweismittel sind damit als unzulässige Noven im vorliegenden Verfahren unbeachtlich.</w:t>
      </w:r>
    </w:p>
    <w:p>
      <w:r>
        <w:rPr>
          <w:b/>
        </w:rPr>
        <w:t>E. 2.1</w:t>
      </w:r>
    </w:p>
    <w:p>
      <w:r>
        <w:t>Die Niederlassungsbewilligung erlischt mit der Ausweisung ( Art. 9 Abs. 3 lit. b ANAG ). Gemäss Art. 10 Abs. 1 ANAG kann ein Ausländer unter anderem dann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nach Artikel 10 Absatz 1 lit. b ANAG namentlich als begründet erscheinen bei schweren oder wiederholten Verstössen gegen gesetzliche Vorschriften oder behördliche Verfügungen; grober Verletzung allgemeiner Gebote der Sittlichkeit; fortgesetzter böswilliger oder liederlicher Nichterfüllung der öffentlichrechtlichen oder privatrechtlichen Verpflichtungen; sonstiger fortgesetzter Liederlichkeit oder Arbeitsscheu (Art. 16 Abs. 2 der Vollziehungsverordnung vom 1. März 1949 zum Bundesgesetz über Aufenthalt und Niederlassung der Ausländer, ANAV; AS 1949 228).</w:t>
      </w:r>
    </w:p>
    <w:p>
      <w:r>
        <w:rPr>
          <w:b/>
        </w:rPr>
        <w:t>E. 2.2</w:t>
      </w:r>
    </w:p>
    <w:p>
      <w:r>
        <w:t>Der Beschwerdeführer wurde wegen verschiedener Delikte mehrfach verurteilt. Damit ist der Ausweisungsgrund nach Art. 10 Abs. 1 lit. a ANAG - entgegen der Meinung des Beschwerdeführers - ohne Weiteres erfüllt. Zudem hielten ihn auch zwei von der Fremdenpolizei bzw. vom Ausländeramt ausgesprochene Verwarnungen nicht von jeweils weiterer Delinquenz ab. Mit Blick auf die vom Beschwerdeführer über einen längeren Zeitraum begangenen zahlreichen Gesetzesverstösse sowie die von ihm angehäuften Schulden - gemäss unbestrittenen Feststellungen der Vorinstanz werden Betreibungen über Fr. 27'000.-- und Verlustscheine über Fr. 40'000.-- verzeichnet - muss vorliegend zudem auch der Ausweisungsgrund gemäss Art. 10 Abs. 1 lit. b ANAG als erfüllt betrachtet werden. Es kann ergänzend auf die zutreffenden Ausführungen der Vorinstanz verwiesen werden.</w:t>
      </w:r>
    </w:p>
    <w:p>
      <w:r>
        <w:rPr>
          <w:b/>
        </w:rPr>
        <w:t>E. 2.3</w:t>
      </w:r>
    </w:p>
    <w:p>
      <w:r>
        <w:t>Die Ausweisung soll nach Art. 11 Abs. 3 ANAG nur verfügt werden, wenn sie nach den gesamten Umständen verhältnismässig erscheint. Dabei sind namentlich die Schwere des Verschuldens, der Grad der Integration bzw. die Dauer der bisherigen Anwesenheit sowie die dem Betroffenen und seiner Familie drohenden Nachteile zu berücksichtigen ( Art. 16 Abs. 3 ANAV ). Da bei der vorzunehmenden Interessenabwägung die persönlichen und familiären Verhältnisse zu berücksichtigen sind, hält eine im Sinne von Art. 11 Abs. 3 ANAG verhältnismässige Ausweisung grundsätzlich auch vor Art. 8 EMRK bzw. Art. 13 Abs. 1 BV (Recht auf Achtung des Privat- und Familienlebens) stand (vgl. BGE 135 II 377 E. 4.3 S. 381). Je länger ein Ausländer in der Schweiz anwesend war, desto strengere Anforderungen sind grundsätzlich an die Anordnung einer Ausweisung zu stellen. Zu berücksichtigen ist auch, in welchem Alter der Ausländer in die Schweiz eingereist ist. Zwar ist nach bundesgerichtlicher Rechtsprechung selbst bei einem Ausländer, der bereits hier geboren ist und sein ganzes bisheriges Leben in der Schweiz verbracht hat (Ausländer der zweiten Generation), eine Ausweisung nicht ausgeschlossen ( BGE 135 II 110 E. 2.1 S. 112 mit Hinweisen; Urteil 2C_903/2010 vom 6. Juni 2011 E. 3.1, nicht publ. in: BGE 137 II 233 ff.). Unter den Gesichtspunkten der Dauer der Anwesenheit sowie der persönlichen und familiären Nachteile ist es aber grundsätzlich angezeigt, bei Ausländern, die in der Schweiz aufgewachsen sind, von dieser fremdenpolizeilichen Massnahme zurückhaltend Gebrauch zu machen (ebenso mit Blick auf Art. 8 EMRK : Urteile des EGMR vom 18. Oktober 2006 i.S. Üner gegen die Niederlande, Nr. 46410/99, § 58 in fine; vom 22. Mai 2008 i.S. Emre gegen die Schweiz, Nr. 42034/04, § 69, sowie vom 23. Juni 2008 i.S. Maslov gegen Österreich, Nr. 1638/03, § 74 f.). Sie ist umso weniger zulässig, je geringfügiger der Ausweisungsgrund, namentlich die Straffälligkeit des betreffenden Ausländers ist. Bei schweren Straftaten, insbesondere bei Gewalt-, Sexual- und schwerwiegenden Betäubungsmitteldelikten, und bei Rückfall bzw. wiederholter Delinquenz besteht indessen ein wesentliches öffentliches Interesse an einer Ausweisung ( BGE 122 II 433 E. 2c S. 436). Entscheidend ist aber in jedem Fall die Verhältnismässigkeitsprüfung, die gestützt auf die gesamten wesentlichen Umstände des Einzelfalles vorzunehmen ist ( BGE 135 II 110 E. 2.1 S. 112; 134 II 1 E. 2.2 S. 3; 130 II 176 E. 3.3.4 S. 182; 125 II 521 E. 2b S. 524; 122 II 433 E. 2c S. 436 f.).</w:t>
      </w:r>
    </w:p>
    <w:p>
      <w:r>
        <w:rPr>
          <w:b/>
        </w:rPr>
        <w:t>E. 2.4</w:t>
      </w:r>
    </w:p>
    <w:p>
      <w:r>
        <w:t>Die kantonalen Instanzen haben Art und Schwere der vom Beschwerdeführer begangenen Delikte - insbesondere den Umstand, dass er sich auch durch zwei Verwarnungen nicht von weiterer Delinquenz abhalten liess - sowie seine Schuldensituation korrekt gewürdigt. Es kann auf die vorinstanzlichen Ausführungen verwiesen werden. Die Vorbringen des Beschwerdeführers vermögen nichts an der vorgenommenen Interessenabwägung zu ändern. Die Vorinstanz hat dabei gebührend berücksichtigt, dass sich der Beschwerdeführer seit 1989 in der Schweiz aufhält. Sie hat auch zutreffend gewürdigt, dass er hier mit seiner Frau und seinen drei Kindern lebt und eine Ausweisung für diese mit Härten verbunden wäre, wobei sie feststellte, der Familie des Beschwerdeführers stehe es frei zu entscheiden, ob sie mit ihm zusammen nach Mazedonien zurückkehren oder in der Schweiz verbleiben wolle. Art. 8 EMRK bzw. Art. 13 Abs. 1 und 14 BV stünden der Ausweisung nicht entgegen, da der Anspruch auf Achtung des Familienlebens nicht absolut gelte. Mit diesen Ausführungen setzt sich der Beschwerdeführer nicht auseinander. Zu Recht hat die Vorinstanz sodann den Umstand als wesentlich gewichtet, dass der Beschwerdeführer sich wiederholt über damals nicht allzu schmerzhafte Sanktionen hinweggesetzt, Verwarnungen nicht beachtet und mit seinem Verhalten als Ehemann und Vater von drei minderjährigen Kindern die Zukunft seiner Familie leichtfertig aufs Spiel gesetzt hat. Es ist ihr ohne Weiteres zuzustimmen, wenn sie feststellt, nachdem der Beschwerdeführer zweimal verwarnt worden sei und weiter delinquiert habe selbst als ihm die Ausweisung konkret in Aussicht gestellt worden sei, komme eine erneute Ausweisungsandrohung nicht mehr in Betracht. Der Zweck der Verwarnung besteht darin, eine Verhaltensänderung zu bewirken. Wird dieses Ziel damit nicht erreicht, so sind anderweitige Massnahmen angezeigt. Inwiefern die bisherigen Verwarnungen nicht relevant oder gar - wie vom Beschwerdeführer behauptet - widerrechtlich sein sollten, ist nicht ersichtlich. Dagegen erscheint es als offensichtlich, dass sie keinerlei Wirkung zeitigten und sich der Beschwerdeführer davon trotz der Verantwortung, welche er für seine Familie hätte, nicht beeindrucken liess. Dass sich der Beschwerdeführer in den letzten drei Jahren korrekt verhalten haben soll, ist angesichts dieser Vorgeschichte und des Umstandes, dass das Wohlverhalten aufgrund des am 23. Juli 2007 eingeleiteten Verfahrens betreffend allfällige Ausweisung offensichtlich unter dem Damoklesschwert der drohenden Entfernungsmassnahme stand, nicht entscheidend. Dass der Beschwerdeführer seine Schulden stets abgezahlt haben soll, ist sodann angesichts der gemäss aufgelegtem Betreibungsregisterauszug offenen Verlustscheine im Betrage von rund Fr. 40'200.-- und dem Umstand, dass für eine Forderung von rund Fr. 10'300.-- lediglich ein Rechtsvorschlag und für eine Forderung von rund Fr. 17'600.-- ein Pfändungsvollzug vermerkt sind, ebenfalls zu relativieren.</w:t>
      </w:r>
    </w:p>
    <w:p>
      <w:r>
        <w:rPr>
          <w:b/>
        </w:rPr>
        <w:t>E. 2.5</w:t>
      </w:r>
    </w:p>
    <w:p>
      <w:r>
        <w:t>Zusammenfassend ist festzuhalten, dass die vorinstanzliche Interessenabwägung nicht zu beanstanden ist und sich die verfügte Ausweisung als bundesrechts- und staatsvertragskonform erweist.</w:t>
      </w:r>
    </w:p>
    <w:p>
      <w:r>
        <w:rPr>
          <w:b/>
        </w:rPr>
        <w:t>E. 3</w:t>
      </w:r>
    </w:p>
    <w:p>
      <w:r>
        <w:t>Aufgrund des Gesagten ist die Beschwerde als unbegründet abzuweisen. Bei diesem Ausgang wird der Beschwerdeführer kostenpflichtig ( Art. 65 und Art. 66 BGG ). Parteientschädigungen sind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