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774/2020 vom 9. Oktober 2020</w:t>
      </w:r>
    </w:p>
    <w:p>
      <w:r>
        <w:t>Bundesgericht, 2020-10-09, DE</w:t>
      </w:r>
    </w:p>
    <w:p>
      <w:r>
        <w:rPr>
          <w:b/>
        </w:rPr>
        <w:t xml:space="preserve">Quelle: </w:t>
      </w:r>
      <w:r>
        <w:t>https://mcp.opencaselaw.ch/entscheid/bger_2C_774_2020</w:t>
      </w:r>
    </w:p>
    <w:p>
      <w:r>
        <w:t>FR: TF 2C 774/2020 du 9 octobre 2020</w:t>
      </w:r>
    </w:p>
    <w:p>
      <w:r>
        <w:t>IT: TF 2C 774/2020 del 9 ottobre 2020</w:t>
      </w:r>
    </w:p>
    <w:p>
      <w:pPr>
        <w:pStyle w:val="Heading2"/>
      </w:pPr>
      <w:r>
        <w:t>Regeste</w:t>
      </w:r>
    </w:p>
    <w:p>
      <w:r>
        <w:t>Durchsetzungshaft | Bürgerrecht und Ausländerrecht</w:t>
      </w:r>
    </w:p>
    <w:p>
      <w:pPr>
        <w:pStyle w:val="Heading2"/>
      </w:pPr>
      <w:r>
        <w:t>Erwägungen</w:t>
      </w:r>
    </w:p>
    <w:p>
      <w:r>
        <w:rPr>
          <w:b/>
        </w:rPr>
        <w:t>E. 1.1</w:t>
      </w:r>
    </w:p>
    <w:p>
      <w:r>
        <w:t>Gegen kantonal letztinstanzliche Entscheide betreffend Zwangsmassnahmen im Ausländerrecht steht die Beschwerde in öffentlich-rechtliche Angelegenheiten offen (Art. 82 lit. a, Art. 83 lit. c e contrario, Art. 86 Abs. 1 lit. d und Abs. 2 sowie Art. 90 BGG ). Der Beschwerdeführer ist gestützt auf Art. 89 Abs. 1 BGG zur Beschwerde in öffentlich-rechtlichen Angelegenheiten legitimiert; auf das frist- ( Art. 100 Abs. 1 BGG ) und formgerecht ( Art. 42 Abs. 1 und 2 BGG ) eingereichte Rechtsmittel ist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In Bezug auf die Verletzung von Grundrechten und von kantonalem Recht gilt eine qualifizierte Rüge- und Substanziierungspflicht ( Art. 106 Abs. 2 BGG ; BGE 142 I 99 E. 1.7.2 S. 106 ; 139 I 229 E. 2.2 S. 232). 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S. 313).</w:t>
      </w:r>
    </w:p>
    <w:p>
      <w:r>
        <w:rPr>
          <w:b/>
        </w:rPr>
        <w:t>E. 3</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 Art. 78 Abs. 1 AIG [SR 142.20]).</w:t>
      </w:r>
    </w:p>
    <w:p>
      <w:r>
        <w:rPr>
          <w:b/>
        </w:rPr>
        <w:t>E. 3.1</w:t>
      </w:r>
    </w:p>
    <w:p>
      <w:r>
        <w:t>Zweck der Durchsetzungshaft ist es, die ausreisepflichtige Person in jenen Fällen zu einer Verhaltensänderung zu bewegen, in denen nach Ablauf der Ausreisefrist der Vollzug der rechtskräftig gegen sie angeordneten Weg- oder Ausweisung bzw. Landesverweisung - trotz entsprechender behördlicher Bemühungen - ohne ihre Kooperation nicht (mehr) möglich erscheint.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140 II 409 E. 2.1 S. 411).</w:t>
      </w:r>
    </w:p>
    <w:p>
      <w:r>
        <w:rPr>
          <w:b/>
        </w:rPr>
        <w:t>E. 3.2</w:t>
      </w:r>
    </w:p>
    <w:p>
      <w:r>
        <w:t>Die Durchsetzungshaft bildet das letzte Mittel, wenn und soweit keine andere Massnahme (mehr) zum Ziel führt, den illegal anwesenden Ausländer auch gegen seinen Willen in seine Heimat verbringen zu können. Sie darf - zusammen mit einer bereits verbüssten Ausschaffungs- oder Vorbereitungshaft - maximal 18 Monate betragen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S. 411; 135 II 105 E. 2.2.1 S. 107; 134 II 201 E. 2 S. 204 ff. ; 134 I 92 E. 2.3 S. 96 ff.).</w:t>
      </w:r>
    </w:p>
    <w:p>
      <w:r>
        <w:rPr>
          <w:b/>
        </w:rPr>
        <w:t>E. 3.3</w:t>
      </w:r>
    </w:p>
    <w:p>
      <w:r>
        <w:t>Die Festhaltung hat, weil unverhältnismässig, dann als unzulässig zu gelten, wenn triftige Gründe für Verzögerungen beim Vollzug der Wegweisung sprechen oder praktisch feststeht, dass sich dieser im Einzelfall kaum innert nützlicher Frist wird realisieren lassen ( BGE 130 II 56 E. 4.1.3 S. 61). Nur falls keine oder bloss eine höchst unwahrscheinliche, rein theoretische Möglichkeit besteht, die Wegweisung zu vollziehen, ist die Haft zu beenden, nicht indessen bei einer ernsthaften, wenn auch allenfalls (noch) geringen Aussicht hierauf ( BGE 130 II 56 E. 4.1.3 S. 61 mit Hinweisen). Unter Vorbehalt einer Beeinträchtigung der öffentlichen Ordnung durch die betroffene Person ist die Frage nach der Durchführbarkeit des Wegweisungsvollzugs bzw. der Möglichkeit der freiwilligen Rückreise des Betroffenen nicht notwendigerweise im Hinblick auf die maximal mögliche Haftdauer, sondern vielmehr auf einen den gesamten Umständen des konkreten Falls angemessenen Zeitraum hin zu beurteilen ( Art. 78 Abs. 6 lit. a AIG ; vgl. BGE 130 II 56 E. 4.1.3 S. 61; 125 II 217 E. 3b/bb S. 223).</w:t>
      </w:r>
    </w:p>
    <w:p>
      <w:r>
        <w:rPr>
          <w:b/>
        </w:rPr>
        <w:t>E. 4.1</w:t>
      </w:r>
    </w:p>
    <w:p>
      <w:r>
        <w:t>Das Bundesgericht hat im Zusammenhang mit dem Vollzug der Ausschaffung bzw. der Landesverweisung im Hinblick auf die Corona-Pandemie entschieden, dass jeder Einzelfall gestützt auf seine konkreten Umstände zu beurteilen sei (vgl. die Urteile 2C_408/2020 vom 21. Juli 2020 E. 3.1, zur Publikation vorgesehen), 2C_510/2020 vom 7. Juli 2020 E. 3.2.1 und 2C_518/2020 vom 10. Juli 2020 E. 4.3.1).</w:t>
      </w:r>
    </w:p>
    <w:p>
      <w:r>
        <w:rPr>
          <w:b/>
        </w:rPr>
        <w:t>E. 4.2</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Die bloss vage Möglichkeit, dass ein Vollzugshindernis potentiell in absehbarer Zeit entfallen könnte - wie dies etwa bei den Luftangriffen der NATO im früheren Jugoslawien der Fall war -, genügt nicht, um eine Ausschaffungs- bzw. Durchsetzungshaft aufrechtzuerhalten (vgl. Urteil 2C_408/2020 vom 21. Juli 2020 E. 3.2; BGE 125 II 217 E. 3b/bb S. 223 f.)</w:t>
      </w:r>
    </w:p>
    <w:p>
      <w:r>
        <w:rPr>
          <w:b/>
        </w:rPr>
        <w:t>E. 4.3</w:t>
      </w:r>
    </w:p>
    <w:p>
      <w:r>
        <w:t>Das Bundesgericht ist im Rahmen von Art. 105 BGG grundsätzlich an den Sachverhalt im angefochtenen Entscheid gebunden; es stellt deshalb in Fällen wie dem vorliegenden praxisgemäss auf die sachverhaltlichen Elemente im Zeitpunkt des angefochtenen Entscheids ab (vgl. die Urteile 2C_386/2020 vom 9. Juni 2020 E. 4.2.2 und 2C_442/ 2020 vom 24. Juni 2020 E. 5.3.1).</w:t>
      </w:r>
    </w:p>
    <w:p>
      <w:r>
        <w:rPr>
          <w:b/>
        </w:rPr>
        <w:t>E. 5.1.1</w:t>
      </w:r>
    </w:p>
    <w:p>
      <w:r>
        <w:t>Die Vorinstanz hat die Anordnung einer Ausschaffungshaft in Bezug auf den Beschwerdeführer nicht bestätigt. Eine solche sei nur zulässig, wenn in absehbarer Zeit eine polizeilich begleitete Rückführung oder eine Ausschaffung mittels Sonderflug möglich erscheine. Dies müsse vorliegend verneint werden. Zwar sollten gemäss dem SEM ab Mitte August 2020 wieder Flüge nach Gambia durchgeführt und der ausgefallene Sonderflug dorthin bis Ende 2020 bzw. im Herbst 2020 nachgeholt werden, aufgrund der COVID-19 Pandemie bestünde jedoch keine realistische Ausschaffungsperspektive, weshalb an der angeordneten Ausschaffungshaft nicht festgehalten werden könne.</w:t>
      </w:r>
    </w:p>
    <w:p>
      <w:r>
        <w:rPr>
          <w:b/>
        </w:rPr>
        <w:t>E. 5.1.2</w:t>
      </w:r>
    </w:p>
    <w:p>
      <w:r>
        <w:t>In Bezug auf die Durchsetzungshaft stellte die Vorinstanz fest, dass die Voraussetzungen für die Anordnung der Durchsetzungshaft gegeben seien. Selbst wenn ein normaler Flugbetrieb bestünde, würde der Wegweisungsvollzug am verweigernden Verhalten des Beschwerdeführers scheitern, weshalb die aufgrund der COVID-Pandemie erfolgten Flugbeschränkungen vorliegend nicht zu berücksichtigen seien. Da keine mildere Massnahme zum Ziele führe, bestätigte die Vorinstanz die Verlängerung der Durchsetzungshaft bis zum 17. Oktober 2020.</w:t>
      </w:r>
    </w:p>
    <w:p>
      <w:r>
        <w:rPr>
          <w:b/>
        </w:rPr>
        <w:t>E. 5.2</w:t>
      </w:r>
    </w:p>
    <w:p>
      <w:r>
        <w:t>Dieser Auffassung kann nicht gefolgt werden: Entscheidend bei der Durchsetzungshaft ist, ob die Ausreise "objektiv" möglich ist. Es liegt keine relevante Unmöglichkeit vor, falls die betroffene Person freiwillig ausreisen kann, d.h. diesbezüglich keine technischen Hindernisse bestehen; ebenso verhält es sich, wenn die zwangsweise Ausschaffung ausgeschlossen ist, sich eine freiwillige Ausreise aber technisch als möglich erweist; die Durchsetzungshaft ist mit anderen Worten dann untauglich, wenn sowohl die Ausschaffung als auch die freiwillige Ausreise objektiv unmöglich sind (vgl. Urteil 2C_408/2020 vom 21. Juli 2020 E. 4.2.2, zur Publikation vorgesehen).</w:t>
      </w:r>
    </w:p>
    <w:p>
      <w:r>
        <w:rPr>
          <w:b/>
        </w:rPr>
        <w:t>E. 5.3</w:t>
      </w:r>
    </w:p>
    <w:p>
      <w:r>
        <w:t>Obwohl der Beschwerdeführer seinen Mitwirkungspflichten nicht nachgekommen ist (Erklärung, nicht nach Gambia zurückreisen zu wollen), konnte im Zeitpunkt des Urteils seine Ausschaffung bzw. "seine selbständige und pflichtgemässe Ausreise" nicht als in absehbarer Zeit möglich gelten. Der vage Hinweis im angefochtenen Urteil, frühestens ab Mitte August 2020 könne mit unbegleiteten Rückflügen nach Gambia gerechnet werden, genügt in der vorliegenden Situation nicht für die Annahme einer realistischen Ausreiseperspektive. Dies wird auch nicht dadurch widerlegt, dass das SEM in seiner Stellungnahme vom 1. Oktober 2020 darauf hinweist, dass ab Juli 2020 eine bedeutende Zunahme der Flugverbindungen zwischen Europa und Afrika zu verzeichnen war und eine hohe Wahrscheinlichkeit im Zeitpunkt des Urteils bestand, dass Flüge in den darauffolgenden Wochen durchgeführt werden könnten.</w:t>
      </w:r>
    </w:p>
    <w:p>
      <w:r>
        <w:rPr>
          <w:b/>
        </w:rPr>
        <w:t>E. 5.4</w:t>
      </w:r>
    </w:p>
    <w:p>
      <w:r>
        <w:t>Seine Ausschaffung bzw. die Möglichkeit einer freiwilligen Ausreise scheitert derzeit nicht (allein) an seinem Verhalten, sondern an einer zeitlich (noch) nicht absehbaren, vorübergehenden technischen Unmöglichkeit, nach Gambia zurückzukehren. Weder kann der Beschwerdeführer freiwillig in die Heimat reisen, noch können die Behörden ihn zwangsweise dorthin verbringen. Die Abwesenheit von Flügen nach Banjul (Gambia) wird durch die Internationale Zivilluftfahrtorganisation (International Civil Aviation Organisation, ICAO) bestätigt, gemäss welcher der normale Flugbetrieb auch am 7. Oktober 2020 aufgrund der COVID-Pandemie weiterhin eingestellt blieb. Es liegen damit technische Hindernisse vor, welche auch bei einer Kooperation des Beschwerdeführers nicht dazu führen würden, dass er in seine Heimat reisen oder dorthin verbracht werden könnte. Es wird vom Betroffenen mit dem Freiheitsentzug etwas verlangt, was zurzeit aus objektiven Gründen nicht zum bezweckten Ziel führen kann.</w:t>
      </w:r>
    </w:p>
    <w:p>
      <w:r>
        <w:rPr>
          <w:b/>
        </w:rPr>
        <w:t>E. 5.5</w:t>
      </w:r>
    </w:p>
    <w:p>
      <w:r>
        <w:t>Nach dem Dargelegten bestanden im Zeitpunkt des angefochtenen Entscheids keine ernsthaften Aussichten darauf, dass sich der Vollzug der Wegweisung des Beschwerdeführers bzw. seine freiwillige Rückkehr innert einer vernünftigerweise absehbaren Frist technisch realisieren liessen. Die Vorinstanz hätte unter Berücksichtigung der konkreten Verhältnisse die Durchsetzungshaft des Beschwerdeführers deshalb nicht verlängern dürfen.</w:t>
      </w:r>
    </w:p>
    <w:p>
      <w:r>
        <w:rPr>
          <w:b/>
        </w:rPr>
        <w:t>E. 5.6</w:t>
      </w:r>
    </w:p>
    <w:p>
      <w:r>
        <w:t>Die Beschwerde ist dementsprechend gutzuheissen, das Urteil des Verwaltungsgerichts des Kantons Aargau vom 11. August 2020 aufzuheben und der Beschwerdeführer umgehend aus der Haft zu entlassen.</w:t>
      </w:r>
    </w:p>
    <w:p>
      <w:r>
        <w:rPr>
          <w:b/>
        </w:rPr>
        <w:t>E. 5.7</w:t>
      </w:r>
    </w:p>
    <w:p>
      <w:r>
        <w:t>Für das bundesgerichtliche Verfahren sind keine Kosten geschuldet ( Art. 66 Abs. 4 BGG ). Der Kanton Aargau hat den Rechtsvertreter des Beschwerdeführers für das bundesgerichtliche Verfahren angemessen zu entschädigen ( Art. 68 Abs. 1 BGG ). Das Gesuch um unentgeltliche Rechtspflege und Verbeiständung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