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771/2017 vom 8. Februar 2018</w:t>
      </w:r>
    </w:p>
    <w:p>
      <w:r>
        <w:t>Bundesgericht, 2018-02-08, DE</w:t>
      </w:r>
    </w:p>
    <w:p>
      <w:r>
        <w:rPr>
          <w:b/>
        </w:rPr>
        <w:t xml:space="preserve">Quelle: </w:t>
      </w:r>
      <w:r>
        <w:t>https://mcp.opencaselaw.ch/entscheid/bger_2C_771_2017</w:t>
      </w:r>
    </w:p>
    <w:p>
      <w:r>
        <w:t>FR: TF 2C 771/2017 du 8 février 2018</w:t>
      </w:r>
    </w:p>
    <w:p>
      <w:r>
        <w:t>IT: TF 2C 771/2017 del 8 febbraio 2018</w:t>
      </w:r>
    </w:p>
    <w:p>
      <w:pPr>
        <w:pStyle w:val="Heading2"/>
      </w:pPr>
      <w:r>
        <w:t>Regeste</w:t>
      </w:r>
    </w:p>
    <w:p>
      <w:r>
        <w:t>Nichtverlängerung der Aufenthaltsbewilligung | Bürgerrecht und Ausländerrecht</w:t>
      </w:r>
    </w:p>
    <w:p>
      <w:pPr>
        <w:pStyle w:val="Heading2"/>
      </w:pPr>
      <w:r>
        <w:t>Erwägungen</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Eingetreten wird auf Beschwerden, die sich gegen die Nichtverlängerung einer Aufenthaltsbewilligung richten, sofern die betroffene Person in vertretbarer Weise einen Anspruch auf eine Verlängerung geltend macht; ob dieser tatsächlich besteht, bildet Gegenstand der materiellen Beurteilung ( BGE 137 I 305 E. 2.5 S. 315; Urteil 2C_575/2013 vom 7. Februar 2014 E. 1.1). Die Beschwerdeführerin behauptet in vertretbarer Weise, während ihrer Ehe Opfer häuslicher Gewalt geworden zu sein, weshalb ein nachehelicher Härtefall vorliege und ihr gestützt auf Art. 50 Abs. 1 lit. b AuG (SR 142.20) ein Anspruch auf Verlängerung ihrer Aufenthaltsbewilligung zustehe. Die Beschwerde in öffentlich-rechtlichen Angelegenheiten ist zulässig und die Beschwerdeführerin zu dieser legitimiert ( Art. 89 Abs. 1 BGG ). Auf ihre Eingabe ist einzutreten (vgl. Art. 82 lit. a i.V.m. Art. 86 Abs. 1 lit. d, Art. 89 Abs. 1, Art. 90, Art. 100 Abs. 1 BGG ).</w:t>
      </w:r>
    </w:p>
    <w:p>
      <w:r>
        <w:rPr>
          <w:b/>
        </w:rPr>
        <w:t>E. 1.2.1</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 Art. 105 Abs. 2 BGG ; vgl. BGE 133 II 249 E. 1.4.3 S. 254 f.; 133 III 350 E. 1.3 S. 351 f.). Die betroffene Person muss ihrerseits rechtsgenügend dartun, dass und inwiefern der festgestellte Sachverhalt in einem grundlegenden Punkt klar und eindeutig mangelhaft ermittelt wurde, will sie den Sachverhalt infrage stellen ( Art. 106 Abs. 2 BGG ; BGE 133 II 249 E. 1.4.3 S. 254 f.; 133 III 350 E. 1.3, 393 E. 7.1, 462 E. 2.4). Sie hat sich im Übrigen in rechtlicher wie sachverhaltsmässiger Hinsicht mit den Ausführungen im angefochtenen Entscheid im Einzelnen sachbezogen auseinanderzusetzen.</w:t>
      </w:r>
    </w:p>
    <w:p>
      <w:r>
        <w:rPr>
          <w:b/>
        </w:rPr>
        <w:t>E. 1.2.2</w:t>
      </w:r>
    </w:p>
    <w:p>
      <w:r>
        <w:t>Soweit die Darlegungen in der Beschwerdeschrift diesen Vorgaben nicht genügen, die Beschwerdeführerin insbesondere einfach appellatorisch wiederholt, was sie im kantonalen Verfahren vorgebracht hat, ohne sich mit der Begründung der Vorinstanz zu ihren Einwänden zu befassen und darzulegen, dass und inwiefern diese dabei Bundesrecht verletzt hat, ist auf ihre Kritik nicht weiter einzugehen. Die Verletzung von Grundrechten sowie von kantonalem und interkantonalem Recht prüft das Bundesgericht nur insoweit, als eine solche Rüge in der Beschwerde präzise vorgebracht und verfassungsbezogen begründet wird ( Art. 106 Abs. 2 BGG ; BGE 139 I 229 E. 2.2 S. 232; 134 II 244 E. 2.2 S. 246). Soweit die Beschwerdeführerin in verschiedenen Punkten lediglich geltend macht, der angefochtene Entscheid sei willkürlich, es indessen unterlässt, im Einzelnen auszuführen, dass und inwiefern dies der Fall ist, wird auf ihre appellatorischen Ausführungen nicht weiter eingegangen.</w:t>
      </w:r>
    </w:p>
    <w:p>
      <w:r>
        <w:rPr>
          <w:b/>
        </w:rPr>
        <w:t>E. 2</w:t>
      </w:r>
    </w:p>
    <w:p>
      <w:r>
        <w:t>Nach der bundesgerichtlichen Rechtsprechung liegt keine Verletzung des Anspruchs auf rechtliches Gehörs vor, wenn die Vorinstanz auf die Abnahme beantragter Beweismittel verzichtet, weil sie aufgrund der bereits abgenommenen Beweise ihre Überzeugung gebildet hat und sie, ohne in Willkür zu verfallen, in vorweggenommener (antizipierter) Beweiswürdigung annehmen darf, dass ihre Erkenntnisse auch durch weitere Erhebungen nicht mehr entscheidend beeinflusst würden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Dass der vom Gericht festgestellte Sachverhalt nicht mit der Darstellung der beschwerdeführenden Person übereinstimmt, begründet für sich allein noch keine Willkür ( BGE 140 III 264 E. 2.3 S. 266 mit Hinweisen).</w:t>
      </w:r>
    </w:p>
    <w:p>
      <w:r>
        <w:rPr>
          <w:b/>
        </w:rPr>
        <w:t>E. 3.1</w:t>
      </w:r>
    </w:p>
    <w:p>
      <w:r>
        <w:t>Im vorliegenden Fall ist strittig, ob die Beschwerdeführerin über einen Aufenthaltsanspruch nach Art. 50 Abs. 1 lit. b i.V.m. Abs. 2 AuG verfügt. Danach besteht der Bewilligungsanspruch nach einer gescheiterten Ehe fort, wenn "wichtige persönliche Gründe" einen weiteren Aufenthalt der betroffenen Person in der Schweiz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Entscheidend ist, ob die persönliche, berufliche und familiäre Wiedereingliederung als stark gefährdet zu gelten hat und nicht, ob ein Leben in der Schweiz einfacher wäre (vgl. Urteil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 S. 350).</w:t>
      </w:r>
    </w:p>
    <w:p>
      <w:r>
        <w:rPr>
          <w:b/>
        </w:rPr>
        <w:t>E. 3.2</w:t>
      </w:r>
    </w:p>
    <w:p>
      <w:r>
        <w:t>Häusliche Gewalt bedeutet systematische Misshandlung mit dem Ziel, Macht und Kontrolle auszuüben und nicht eine einmalige Ohrfeige oder eine verbale Beschimpfung im Verlauf eines eskalierenden Streits (vgl. BGE 136 II 1 E. 5 S. 3 ff. mit Hinweisen). Ein Anspruch nach Art. 50 Abs. 1 lit. b AuG wird praxisgemäss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Nicht jede unglückliche, belastende und nicht den eigenen Vorstellungen entsprechende Entwicklung einer Beziehung begründet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 BGE 138 II 229 E. 3.2.2 S. 233 f. mit Hinweisen).</w:t>
      </w:r>
    </w:p>
    <w:p>
      <w:r>
        <w:rPr>
          <w:b/>
        </w:rPr>
        <w:t>E. 3.3</w:t>
      </w:r>
    </w:p>
    <w:p>
      <w:r>
        <w:t>Die ausländische Person, welche geltend macht, Opfer ehelicher oder häuslicher Gewalt geworden zu sein, trifft bei den Feststellungen des Sachverhalts eine weitreichende Mitwirkungspflicht (vgl. hierzu 138 II 229 E. 3.2.3; 124 II 361 E. 2b S. 365). Sie muss die eheliche Gewalt bzw. häusliche Oppression und deren Schwere in geeigneter Weise glaubhaft machen (Arztberichte oder psychiatrische Gutachten, Polizeirapporte, Berichte/Einschätzungen von Fachstellen [Frauenhäuser, Opferhilfe usw.], glaubwürdige Zeugenaussagen von weiteren Angehörigen oder Nachbarn). In diesem Fall trifft die Bewilligungs- bzw. die Beschwerdeinstanz im Rahmen der Untersuchungsmaxime eine eigenständige Abklärungspflicht. Allgemein gehaltene Behauptungen oder Hinweise auf punktuelle Spannungen genügen hierzu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wird, bei einer Rückkehr in die Heimat erweise sich die soziale Wiedereingliederung als stark gefährdet. Auch hier genügen allgemeine Hinweise nicht; die befürchtete Beeinträchtigung muss im Einzelfall aufgrund der konkreten Umstände glaubhaft erscheinen (vgl. BGE 138 II 229 E. 3.2.3).</w:t>
      </w:r>
    </w:p>
    <w:p>
      <w:r>
        <w:rPr>
          <w:b/>
        </w:rPr>
        <w:t>E. 4.1</w:t>
      </w:r>
    </w:p>
    <w:p>
      <w:r>
        <w:t>Die Beschwerdeführerin macht geltend, das Kantonsgericht habe durch "die Vornahme einer falschen Beweiswürdigung zu Unrecht festgehalten", dass die seitens ihres Ex-Manns während des ehelichen Zusammenlebens im Jahr 2011/2012 erlittene häusliche Gewalt (Konstanz und Intensität) nicht glaubhaft gemacht sei. Das Kantonsgericht habe zu Unrecht erwogen, dass sie mit ihren Aussagen, mit dem Bericht des Frauenhauses Frenkendorf, jenem ihrer Ärztin, den Berichten der Kantonalen Psychiatrischen Klinik Basel-Landschaft, den Polizeirapporten und den Zeugenaussagen das Vorliegen der häuslichen Gewalt nicht hinreichend belegt habe. Sie habe gestützt auf Art. 50 Abs. 1 lit. b AuG einen Anspruch darauf, dass ihr eine Aufenthaltsbewilligung erteilt werde.</w:t>
      </w:r>
    </w:p>
    <w:p>
      <w:r>
        <w:rPr>
          <w:b/>
        </w:rPr>
        <w:t>E. 4.2.1</w:t>
      </w:r>
    </w:p>
    <w:p>
      <w:r>
        <w:t>Die Ausführungen der Beschwerdeführerin sind nicht geeignet, die Beweiswürdigung der kantonalen Instanzen als offensichtlich unhaltbar erscheinen zu lassen (vgl. vorstehende E. 2) : Im kantonalen Verfahren wurde nicht infrage gestellt, dass es in der Beziehung der Eheleute C.________ zu Spannungen gekommen ist, die Ehe konfliktbeladen war und das Verhältnis der Beschwerdeführerin zu ihrem Gatten und den Schwiegereltern von ihr zunehmend als belastend empfunden wurde. Die Vorinstanz ging vielmehr davon aus, dass die Beschwerdeführerin die Verhältnisse übertrieben dargestellt habe und sie nicht in ausländerrechtlich relevanter Weise Opfer ehelicher Gewalt geworden sei. Verbale Auseinandersetzungen und wechselseitige, untergeordnete Tätlichkeiten schloss sie nicht aus. Zwar setzt die Anwendung von Art. 50 Abs. 1 lit. b AuG praxisgemäss keine strafrechtliche Verurteilung voraus (vgl. BGE 138 II 229 E. 3.3.3 S. 237; Urteile 2C_221/2011 vom 30. Juli 2011 E. 2 und 2C_586/2011 vom 21. Juli 2011 E. 3.2), doch darf der Ausgang eines allfälligen Strafverfahrens und der in diesem ermittelte Sachverhalt bzw. das jeweilige Aussageverhalten bei der ausländerrechtlichen Beurteilung mitberücksichtigt werden, ob und in welcher Form eheliche bzw. häusliche Gewalt ausgeübt worden ist oder nicht.</w:t>
      </w:r>
    </w:p>
    <w:p>
      <w:r>
        <w:rPr>
          <w:b/>
        </w:rPr>
        <w:t>E. 4.2.2</w:t>
      </w:r>
    </w:p>
    <w:p>
      <w:r>
        <w:t>Die kantonalen Behörden haben bei ihrer Beurteilung einerseits auf das aufwändig ermittelte Beweisresultat im Strafverfahren und andererseits auf die Würdigung ihrer eigenen Abklärungen und Anhörungen abgestellt und insofern den Beweisanträgen der Beschwerdeführerin entsprochen. Im Rahmen des Strafverfahrens ergab sich, dass diese erklärt hatte, ihren Mann zu lieben, und ihn darum gebeten zu haben, sie in der Klinik zu besuchen, was dieser ablehnte. Erst in den folgenden Gesprächen hat sie - so das Strafgericht - behauptet, Opfer ehelicher Gewalt und sexueller Übergriff geworden zu sein. Weder in der Strafanzeige noch in einer späteren Eingabe sei hiervon die Rede gewesen. Die Psychiatrische Klinik habe das Verhalten der Privatklägerin ihrerseits als "undurchsichtig" wahrgenommen, als die von ihr eingeleiteten rechtlichen Schritte gegen den Ehegatten bekannt geworden seien. In der Gesamtbetrachtung rechtfertigte diese aggravierende Entwicklung der Beschuldigungen und insbesondere das späte Vorbringen der Tatvorwürfe hinsichtlich der sexuellen Übergriffe "Zweifel" an deren Richtigkeit. Inhaltlich schildere - so das Strafgericht - die Privatklägerin sehr weitgehende und zahlreich begangene Übergriffe, wie sie in dieser Schwere selten anzutreffen seien. Trotz der Möglichkeit, um Hilfe nachzusuchen (allenfalls auch durch nonverbale Kommunikation) - die Beschwerdeführerin besuchte einen Deutschkurs und war wiederholt in Kontakt mit Pflegepersonal und Polizeibeamten (zwei Interventionen wegen verbaler Auseinandersetzungen) -, habe sie dies, obwohl naheliegend, nicht getan. Die Angaben zur Häufigkeit der sexuellen Übergriffe variierten im Übrigen stark und seien sehr allgemein gehalten; ihre Aussagen hätten als "vage und pauschal" zu gelten. Tatsache sei, dass bei ihr am 2. Januar 2012 "Bagatellverletzungen" (Hämatome), aber keine gravierenderen Beeinträchtigungen festgestellt werden konnten, was erstaune: Wenn, wie von der Betroffenen dargestellt, die Vergewaltigungen und Blutungen bis zuletzt angedauert hätten, wäre zu erwarten gewesen, dass gewisse Spuren noch vorhanden gewesen wären bzw. die Beschwerdeführerin zumindest ihrer Hausärztin gegenüber hiervon berichtet hätte. Aus den Aussagen der Privatklägerin - so das Strafgericht in seiner Zusammenfassung - ergäbe sich "eine selten vorkommende massiv auftretende Zahl von fragwürdigen Elementen und Widersprüchen"; gleichzeitig bestehe mit dem Wunsch in der Schweiz bleiben zu können, "ein plausibles Motiv für eine Falschbezichtigung". Hieran änderten - so das Strafgericht abschliessend - auch "die aktenkundigen Therapieberichte nichts, da diese massgeblich auf den Darstellungen der Privatklägerin beruhten" und daher nicht geeignet seien, die Anklagevorwürfe zu objektivieren.</w:t>
      </w:r>
    </w:p>
    <w:p>
      <w:r>
        <w:rPr>
          <w:b/>
        </w:rPr>
        <w:t>E. 4.2.3</w:t>
      </w:r>
    </w:p>
    <w:p>
      <w:r>
        <w:t>Die kantonale Vorinstanz liess es nicht bei der rein strafrechtlichen Beurteilung der Vorkommnisse bewenden, sondern nahm am 14. Dezember und 30. Mai 2017 zusätzlich eigene Abklärungen vor: Sie führte gestützt darauf aus, dass der Kurzbericht der Psychiatrischen Klinik vom 29. März 2012 festhalte, dass die Beschwerdeführerin als "relativ starke, psychisch wohl gesunde Persönlichkeit" [...] "mit hohen intellektuellen und emotionalen Fähigkeiten" zu gelten habe, was willkürfrei den Schluss der Vorinstanz zuliess, dass die Beschwerdeführerin auch "fordernd" auftreten könne, was in einem gewissen Widerspruch zu der von ihr geschilderten Opferrolle stehe. Das Kantonsgericht fasste seine Schlüsse, die sich mit jenen aus dem Strafverfahren deckten, wie folgt zusammen: "Auch nach den heutigen Befragungen der weiteren Auskunftspersonen konnte nicht erhärtet werden, dass die Beschwerdeführerin - entsprechend ihrer Behauptung - quasi als Gefangene ohne jegliche Fluchtmöglichkeit gehalten worden wäre; vielmehr blieben erhebliche Zweifel hinsichtlich der behaupteten häuslichen Gewalt bestehen". Im November 2011 hätten die Schwiegereltern ihr ein Flugticket für eine Reise in die Türkei gekauft, doch habe die Beschwerdeführerin es abgelehnt, hiervon Gebrauch zu machen. Angesichts der Schwere der von ihr erhobenen Vorwürfe - so die Vorinstanz - sei es nicht nachvollziehbar, weshalb sie ihre bereits gebuchte Reise nicht angetreten habe, hätte ihr dies doch erlaubt, dem geschilderten "Martyrium" zu entfliehen. Es erscheine auch wenig glaubhaft, dass sich die Beschwerdeführerin an keinerlei zeitlichen und sachlichen Details ihrer angeblichen Misshandlungen mehr erinnern könne. Die diesbezüglichen Ausführungen an der Einvernahme durch das Kantonsgericht vom 14. Dezember 2016 seien - so die Vorinstanz - widersprüchlich und teilweise nur schwer fassbar gewesen; das entsprechende Protokoll bestätigt dies (dort S. 5 und 6). Die erste Ehefrau von A.C.________ hat über keinerlei Gewalt in der Ehe berichtet, was nach Ansicht der Vorinstanz dagegen sprach, dass dieser in seiner zweiten Ehe "systematisch und derart gravierend", wie von der Beschwerdeführerin geschildert, gewalttätig geworden wäre. Zusammenfassend hielt die Vorinstanz fest, es seien auch nach ihren Befragungen keine objektivierten Hinweise erkennbar, welche auf die Heftigkeit der von der Beschwerdeführerin geltend gemachten "häusliche Gewalt schliessen" liessen. Vielmehr basierten "die diesbezüglichen Behauptungen allesamt auf den nicht belegten Aussagen der Beschwerdeführerin". Die ehelichen Spannungen und Auseinandersetzungen hätten entgegen ihren Behauptungen somit nicht die im Rahmen von Art. 50 Abs. 1 lit. b AuG erforderliche Intensität erreicht, auch wenn die Ehe unglücklich verlaufen sei und die Beschwerdeführerin sich in ihren Erwartungen getäuscht gesehen habe.</w:t>
      </w:r>
    </w:p>
    <w:p>
      <w:r>
        <w:rPr>
          <w:b/>
        </w:rPr>
        <w:t>E. 4.2.4</w:t>
      </w:r>
    </w:p>
    <w:p>
      <w:r>
        <w:t>Diese Beweiswürdigung ist verfassungsrechtlich haltbar: Von Willkür kann - wie dargelegt - nicht bereits dann die Rede sein, wenn eine andere Lösung ebenfalls vertretbar erschiene oder sogar vorzuziehen wäre (vorstehende E. 2); es ist im Übrigen nicht ersichtlich und wird von der Beschwerdeführerin auch nicht weiter belegt, inwiefern die Vorinstanz bei der Würdigung der Verhältnisse offensichtlich unhaltbare Schlüsse gezogen, erhebliche Beweismittel übersehen oder solche willkürlich ausser Acht gelassen hätte ( BGE 129 I 8 E. 2.1 S. 9 mit Hinweisen). Entgegen der Behauptung der Beschwerdeführerin hat die Vorinstanz von den verschiedenen, nicht in allen Punkten für sie sprechenden ärztlichen Zeugnissen Kenntnis genommen und diese in ihre Beweiswürdigung miteinbezogen. Soweit die Beschwerdeführerin auf das ärztliche Zeugnis vom 2. Januar 2012 verweist, attestiert dieses nur untergeordnete körperliche Beeinträchtigungen. Im Übrigen ergaben die verschiedenen Untersuchungen keine objektiv feststellbaren Verletzungen, was bei den von der Beschwerdeführerin geschilderten brutalen Vergewaltigungen der Fall gewesen wäre. Die Gutachter haben im Wesentlichen auf die Schilderungen der Beschwerdeführerin abgestellt; die Zeugeneinvernahmen ergaben ihrerseits kein klares Bild. In ihrer Eingabe an das Bundesgericht bestätigt die Beschwerdeführerin selber, dass sie die Wohnung "offensichtlich" habe verlassen könne, so etwa für ihren Deutschkurs; unter diesen Umständen ist es aber nicht unhaltbar, wenn die kantonalen Instanzen es als nicht nachvollziehbar bezeichneten, dass die Beschwerdeführerin im Hinblick auf die von ihr beschriebenen Grausamkeiten nicht um Hilfe nachgesucht hat. Zusammengefasst ergibt sich, dass die Beweiswürdigung der Vorinstanz kein Bundesverfassungsrecht verletzt und nicht als willkürlich gelten kann.</w:t>
      </w:r>
    </w:p>
    <w:p>
      <w:r>
        <w:rPr>
          <w:b/>
        </w:rPr>
        <w:t>E. 4.2.5</w:t>
      </w:r>
    </w:p>
    <w:p>
      <w:r>
        <w:t>Die Beschwerdeführerin macht zu Recht nicht mehr geltend, dass ihr eine Rückkehr in die Heimat nicht zugemutet werden könne: Sie ist erst im Alter von knapp 24 Jahren in die Schweiz gekommen und mit den heimatlichen Verhältnissen noch bestens vertraut. Sie hat dort die persönlichkeitsprägenden Jugendjahre verbracht. Die Beschwerdeführerin verfügt nach einem Universitätsstudium über eine abgeschlossene Ausbildung als Buchhalterin und war vor ihrer Einreise als solche bei einem Immobilienmakler in der Türkei tätig. Im Übrigen leben ihre Eltern und ihr Bruder noch in der Heimat, womit sie dort über ein soziales Beziehungsnetz verfügt, das es ihr erlauben wird, sich wieder eine Existenz aufzubauen, zumal sie inzwischen auch über Grundkenntnisse der deutschen Sprache verfügt. Die Ehe in der Schweiz hat nur wenige Monate gedauert. Ihre gesundheitlichen Beeinträchtigungen, soweit sie fortbestehen sollten, können in der Türkei behandelt werden. Ergänzend wird auf die Ausführungen der Vorinstanz verwiesen.</w:t>
      </w:r>
    </w:p>
    <w:p>
      <w:r>
        <w:rPr>
          <w:b/>
        </w:rPr>
        <w:t>E. 5</w:t>
      </w:r>
    </w:p>
    <w:p>
      <w:r>
        <w:t>Die Beschwerde ist unbegründet und somit abzuweisen. Dem Ausgang des Verfahrens entsprechend wird die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