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2C_771/2015 vom 5. Oktober 2015</w:t>
      </w:r>
    </w:p>
    <w:p>
      <w:r>
        <w:t>Bundesgericht, 2015-10-05, DE</w:t>
      </w:r>
    </w:p>
    <w:p>
      <w:r>
        <w:rPr>
          <w:b/>
        </w:rPr>
        <w:t xml:space="preserve">Quelle: </w:t>
      </w:r>
      <w:r>
        <w:t>https://mcp.opencaselaw.ch/entscheid/bger_2C_771_2015</w:t>
      </w:r>
    </w:p>
    <w:p>
      <w:r>
        <w:t>FR: TF 2C_771/2015 du 5 octobre 2015</w:t>
      </w:r>
    </w:p>
    <w:p>
      <w:r>
        <w:t>IT: TF 2C_771/2015 del 5 ottobre 2015</w:t>
      </w:r>
    </w:p>
    <w:p>
      <w:pPr>
        <w:pStyle w:val="Heading2"/>
      </w:pPr>
      <w:r>
        <w:t>Erwägungen</w:t>
      </w:r>
    </w:p>
    <w:p>
      <w:r>
        <w:rPr>
          <w:b/>
        </w:rPr>
        <w:t>E. 1</w:t>
      </w:r>
    </w:p>
    <w:p>
      <w:r>
        <w:t>A.A.________ (1975, Kosovare) war von 1998 bis 2003 mit B.A.________ verheiratet. Sie haben zwei Kinder: C.A.________ (28.5.1998) und D.A.________ (2002). 2003 wurde die Ehe geschieden. Dem Vater wurde die elterliche Sorge erteilt. 2004 reiste dieser in die Schweiz und heiratete eine Schweizerin. Die beiden Kinder blieben im Kosovo und der Grossvater väterlicherseits sorgte für sie; nach dessen Tod im Jahre 2012 kümmerte sich die Mutter um die Kinder.</w:t>
      </w:r>
    </w:p>
    <w:p>
      <w:r>
        <w:t>Gestützt auf die Ehe mit der Schweizer Bürgerin erhielt A.A.________ die Aufenthalts- und am 24. November 2009 die Niederlassungsbewilligung. Die eheliche Gemeinschaft wurde am 1. Mai 2010 aufgehoben, die Ehe aber erst am 28. Februar 2013 geschieden. Am 24. Mai 2013 heiratete er wieder B.A.________. Diese und ihre beiden Kinder ersuchten am 25. Juni 2013 um eine Einreisebewilligung zwecks Nachzugs zum Ehemann bzw. Vater. Das Migrationsamt bewilligte der Ehefrau und der Tochter die Einreise und verweigerte dem Sohn mit Verfügung vom 29. Juli 2014 diese. Dagegen blieb der erhobene Rekurs erfolglos. Die anschliessende Beschwerde wies das Verwaltungsgericht am 24. Juni 2015 ab.</w:t>
      </w:r>
    </w:p>
    <w:p>
      <w:r>
        <w:rPr>
          <w:b/>
        </w:rPr>
        <w:t>E. 2</w:t>
      </w:r>
    </w:p>
    <w:p>
      <w:r>
        <w:t>Die Beschwerde in öffentlich-rechtlichen Angelegenheiten, welche zulässig ( Art. 83 lit. c Ziff. 2 BGG e contrario) und die subsidiäre Verfassungsbeschwerde dementsprechend unzulässig ist ( Art. 113 BGG ), ist offensichtlich unbegründet, weshalb sie im vereinfachten Verfahren unter Verweisung auf den angefochtenen Entscheid nach Art. 109 Abs. 2 lit. a und Abs. 3 BGG abgewiesen wird, soweit darauf eingetreten werden kann.</w:t>
      </w:r>
    </w:p>
    <w:p>
      <w:r>
        <w:rPr>
          <w:b/>
        </w:rPr>
        <w:t>E. 2.1</w:t>
      </w:r>
    </w:p>
    <w:p>
      <w:r>
        <w:t>Strittig ist nur, ob wichtige familiäre Gründe vorliegen, damit ein nachträglicher Familiennachzug nach Art. 47 Abs. 4 AuG bewilligt werden kann. Entsprechende Gründe liegen unter anderem dann vor, wenn das Kindeswohl schwergewichtig nur durch einen Nachzug in die Schweiz sachgerecht gewahrt werden kann (vgl. Art. 75 VZAE [SR 142.201]). Entgegen dem Wortlaut dieser Verordnungsbestimmung ist dabei nach der Rechtsprechung jedoch nicht ausschliesslich auf das Kindeswohl abzustellen; es bedarf vielmehr einer Gesamtschau unter Berücksichtigung aller relevanten Elemente im Einzelfall.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wobei die erleichterte Zulassung zur Erwerbstätigkeit und nicht (mehr) die Bildung einer echten Familiengemeinschaft im Vordergrund steht (BBl 2002 3754 f. Ziff. 1.3.7.7). Die Bewilligung des Nachzugs nach Ablauf der Fristen hat nach dem Willen des Gesetzgebers die Ausnahme zu bleiben; dabei ist Art. 47 Abs. 4 Satz 1 AuG jeweils aber dennoch so zu handhaben, dass der Anspruch auf Schutz des Familienlebens nach Art. 8 EMRK bzw. Art. 13 BV nicht verletzt wird (Urteil 2C_449/2015 vom 4. August 2015 E. 4.2 m.w.H.).</w:t>
      </w:r>
    </w:p>
    <w:p>
      <w:r>
        <w:rPr>
          <w:b/>
        </w:rPr>
        <w:t>E. 2.2</w:t>
      </w:r>
    </w:p>
    <w:p>
      <w:r>
        <w:t>Die Ablehnung des nachträglichen Familiennachzugs ist nicht zu beanstanden:</w:t>
      </w:r>
    </w:p>
    <w:p>
      <w:r>
        <w:rPr>
          <w:b/>
        </w:rPr>
        <w:t>E. 2.2.1</w:t>
      </w:r>
    </w:p>
    <w:p>
      <w:r>
        <w:t>Die Vorinstanz hat sich einlässlich mit den Argumenten der Beschwerdeführer auseinandergesetzt und hat die Gründe für einen Verbleib im Heimatland begründet dargelegt: Der Sohn wurde im Mai 2015 17 Jahre alt, hat bereits 2/3 des Gymnasiums absolviert, das er im 2016 abschliessen wird. Der Wegzug hätte den Abbruch der Ausbildung zur Folge; in der Schweiz könnte er nicht daran anknüpfen und müsste mit einer Berufslehre beginnen, was auch die Beschwerdeführer ausführen. Insofern wäre ein Wegzug in die Schweiz für seinen weiteren beruflichen Weg nicht förderlich. Sodann darf nicht vergessen werden, dass der Sohn mit einem Wegzug in die Schweiz aus seinem während rund 17 Jahren aufgebauten sozialen Umfeld (Lehrer, Mitschüler, Freunde) herausgerissen wird. Da der Vater seine Verantwortung nach fünf Jahren auf seinen eigenen Vater übertragen und die Mutter lediglich während zweier Jahren für den Sohn gesorgt hat, sind zudem die affektiven familiären Banden zu seinen Eltern nicht besonders eng; in diesem Zusammenhang ist auch zu berücksichtigen, dass der Beschwerdeführer 1 den Nachzug seines Sohnes bereits früher hätte beantragen können. Insofern sind die Ausführungen der Vorinstanz zutreffend, dass das Kindeswohl in Kosovo besser verwirklicht werde.</w:t>
      </w:r>
    </w:p>
    <w:p>
      <w:r>
        <w:rPr>
          <w:b/>
        </w:rPr>
        <w:t>E. 2.2.2</w:t>
      </w:r>
    </w:p>
    <w:p>
      <w:r>
        <w:t>Die Vorinstanz hat auch ausführlich dargelegt, dass selbst wenn die Grosseltern teilweise krank seien, die - wie die Beschwerdeführer anmerken - lediglich noch geringe Betreuung des Sohnes gewährleistet ist. Die Beschwerdeführer werfen der Vorinstanz diesbezüglich allerdings willkürliche Beweiswürdigung vor. Die Beschwerdeführer müssten rechtsgenügend dartun, dass und inwiefern der festgestellte Sachverhalt bzw. die beanstandete Beweiswürdigung klar und eindeutig mangelhaft, mit anderen Worten willkürlich, erscheint ( Art. 42 Abs. 2 und Art. 106 Abs. 2 BGG ; vgl. BGE 133 II 249 E. 1.4.3 S. 254 f.). Dabei liegt Willkür nicht bereits dann vor, wenn eine andere Sicht ebenfalls vertretbar oder sogar zutreffender erscheint,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weiter ein ( BGE 136 II 101 E. 3 S. 104 f.). Inwiefern die Ausführungen der Vorinstanz qualifiziert falsch sein sollten, ist - vor allem angesichts des Alters des Sohnes - nicht ersichtlich; auch wenn die Grosseltern nicht immer vor Ort sein sollten, ist eine dem Alter des Sohnes angemessene Betreuung möglich.</w:t>
      </w:r>
    </w:p>
    <w:p>
      <w:r>
        <w:rPr>
          <w:b/>
        </w:rPr>
        <w:t>E. 2.2.3</w:t>
      </w:r>
    </w:p>
    <w:p>
      <w:r>
        <w:t>Auch die Beschädigung</w:t>
      </w:r>
    </w:p>
    <w:p>
      <w:r>
        <w:t>des Wohnorts durch Unwetter ändert an diesem Befund nichts. Auch vor Bundesgericht unterlassen es die Beschwerdeführer detailliert darzulegen, inwiefern und wie intensiv diese Überschwemmung überhaupt die Liegenschaft des Beschwerdeführers betrifft. Die Beschwerdeführer sprechen sowohl vor Verwaltungsgericht, wie die eingeholten Akten zeigen, als auch vor Bundesgericht lediglich von der Gemeinde Kamenice. Daran ändert auch das nachträglich eingereichte Schreiben, das als Novum unzulässig ist, nichts.</w:t>
      </w:r>
    </w:p>
    <w:p>
      <w:r>
        <w:rPr>
          <w:b/>
        </w:rPr>
        <w:t>E. 3</w:t>
      </w:r>
    </w:p>
    <w:p>
      <w:r>
        <w:t>Damit sind die Gerichtskosten ( Art. 65 BGG ) den Beschwerdeführern unter solidarischer Haftung aufzuerlegen ( Art. 66 Abs. 1 und 5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