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771/2013 vom 11. November 2013</w:t>
      </w:r>
    </w:p>
    <w:p>
      <w:r>
        <w:t>Bundesgericht, 2013-11-11, FR</w:t>
      </w:r>
    </w:p>
    <w:p>
      <w:r>
        <w:rPr>
          <w:b/>
        </w:rPr>
        <w:t xml:space="preserve">Quelle: </w:t>
      </w:r>
      <w:r>
        <w:t>https://mcp.opencaselaw.ch/entscheid/bger_2C_771_2013</w:t>
      </w:r>
    </w:p>
    <w:p>
      <w:r>
        <w:t>FR: TF 2C 771/2013 du 11 novembre 2013</w:t>
      </w:r>
    </w:p>
    <w:p>
      <w:r>
        <w:t>IT: TF 2C 771/2013 del 11 novembre 2013</w:t>
      </w:r>
    </w:p>
    <w:p>
      <w:pPr>
        <w:pStyle w:val="Heading2"/>
      </w:pPr>
      <w:r>
        <w:t>Regeste</w:t>
      </w:r>
    </w:p>
    <w:p>
      <w:r>
        <w:t>Autorisation de séjour | Droit de cité et droit des étrangers</w:t>
      </w:r>
    </w:p>
    <w:p>
      <w:pPr>
        <w:pStyle w:val="Heading2"/>
      </w:pPr>
      <w:r>
        <w:t>Erwägungen</w:t>
      </w:r>
    </w:p>
    <w:p>
      <w:r>
        <w:rPr>
          <w:b/>
        </w:rPr>
        <w:t>E. 1</w:t>
      </w:r>
    </w:p>
    <w:p>
      <w:r>
        <w:t>Selon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citoyenne suisse ayant cessé d'exister, celui-ci ne peut pas déduire un droit à une autorisation de séjour de l'art. 43 al. 1 LEtr ni de l'art. 49 LEtr. Toutefois, devant les instances cantonales, le recourant a invoqué des raisons personnelles majeures au sens de l'art. 50 al. 1 let. b et al. 2 LEtr. En pareilles circonstances, il convient d'admettre un droit, sous l'angle de l' art. 83 let . c ch. 2 LTF, lui permettant de former un recours en matière de droit public, étant précisé que le point de savoir si c'est à juste titre que les autorités cantonales ont nié la réalisation des conditions de l'art. 50 LEtr relève du fond et non de la recevabilité (arrêts 2C_800/2012 du 6 mars 2013 consid. 1.1; 2C_307/2012 du 26 juillet 2012 consid. 1.1; 2C_289/2012 du 12 juillet 2012 consid. 1.1). Pour le surplus, le recours est dirigé contre une décision finale ( art. 90 LTF ), rendue en dernière instance cantonale par un tribunal supérieur ( art. 86 al. 1 let . d et al. 2 LTF); il a été formé en temps utile ( art. 100 al. 1 LTF ) et dans les formes prescrites ( art. 42 LTF ) par le destinataire de l'arrêt attaqué qui a un intérêt digne de protection à son annulation ou à sa modification ( art. 89 al. 1 LTF ). Par conséquent, il est en principe recevable en tant que recours en matière de droit public.</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au sens de l' art. 9 Cst. ( ATF 137 II 222 consid. 7.4 p. 230;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136 II 101 consid. 3 p. 104; 135 II 313 consid. 5.2.2 p. 322). Enfin, sous réserve d'exceptions non réalisées en l'espèce, aucun fait nouveau ni preuve nouvelle ne peut être présenté devant le Tribunal de céans à moins de résulter de la décision de l'autorité précédente ( art. 99 LTF ).</w:t>
      </w:r>
    </w:p>
    <w:p>
      <w:r>
        <w:rPr>
          <w:b/>
        </w:rPr>
        <w:t>E. 3</w:t>
      </w:r>
    </w:p>
    <w:p>
      <w:r>
        <w:t>Le recourant fait grief à l'instance précédente d'avoir violé l'art. 50 al. 1 let. b LEtr en niant l'existence de raisons personnelles majeures justifiant la prolongation de son autorisation de séjour. Il invoque des violences conjugales et considère que l'instance précédente s'est montrée trop exigeante quant à l'apport de la preuve sur ce point, respectivement qu'elle n'a pas apprécié les preuves de manière correcte.</w:t>
      </w:r>
    </w:p>
    <w:p>
      <w:r>
        <w:rPr>
          <w:b/>
        </w:rPr>
        <w:t>E. 3.1</w:t>
      </w:r>
    </w:p>
    <w:p>
      <w:r>
        <w:t>L'art. 50 al. 1 let. b LEtr prévoit qu'après la dissolution de la famille, le droit du conjoint à l'octroi d'une autorisation de séjour et à la prolongation de sa durée de validité en vertu de l'art. 42 LEtr subsiste lorsque la poursuite du séjour en Suisse s'impose pour des raisons personnelles majeures (let. b). Selon l'art. 50 al. 2 LEtr, les raisons personnelles majeures visées à l'al. 1 let. b sont notamment données lorsque le conjoint est victime de violence conjugale et que la réintégration sociale dans le pays de provenance semble fortement compromise. La jurisprudence a précisé que la violence conjugale et la réintégration sociale fortement compromise dans le pays de provenance ne devaient pas forcément être réalisées cumulativement pour justifier l'application de l'art. 50 al. 1 let. b et al. 2 LEtr (cf. ATF 138 II 229 consid. 3.2.2 p. 235; 136 II 1 consid. 5.3 p. 4). Cette disposition a en effet pour vocation d'éviter les cas de rigueur ou d'extrême gravité (cf. ATF 137 II 1 consid. 3.1 p. 3 s.). A cet égard,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138 II 229 consid. 3.2.1 p. 233; 136 II 1 consid. 5.3 p. 4); elle peut être de nature tant physique que psychique (arrêts 2C_1258/2012 du 2 août 2013 consid. 5.1; 2C_748/2011 du 11 juin 2012 consid. 2.2.1; 2C_155/2011 du 7 juillet 2011 consid. 4). En ce qui concerne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2C_748/2011 du 11 juin 2012 consid. 2.2.2; 2C_647/2010 du 10 février 2011 consid. 3.6).</w:t>
      </w:r>
    </w:p>
    <w:p>
      <w:r>
        <w:rPr>
          <w:b/>
        </w:rPr>
        <w:t>E. 3.2</w:t>
      </w:r>
    </w:p>
    <w:p>
      <w:r>
        <w:t>Pour fonder juridiquement la violation de l'art. 50 al. 1 lit. b et al. 2 LEtr, le recourant discute tout à fait librement les faits retenus par le Tribunal cantonal. Pourtant, ce dernier a pris en compte les pièces et témoignages versés en cause, ce qui lui a permis de retenir que l'épouse a agi dans le but de lui nuire en déposant une plainte pénale à son encontre et en intervenant auprès de son employeur ainsi que de son ex-compagne. Le Tribunal cantonal a cependant mis en évidence que de tels agissement, certes inacceptables, avaient pour l'essentiel été commis après la séparation. Le recourant ne conteste pas qu'une partie des agissements malveillants de son ex-épouse étaient postérieurs à la séparation, mais fait valoir que les violences existaient déjà lors de la vie commune. Toutefois, le recourant ne motive nullement de manière suffisante, au regard des exigences de l' art. 106 al. 2 LTF , en quoi l'appréciation des preuves à laquelle a procédé le Tribunal cantonal serait arbitraire. Il en va de même s'agissant du prétendu risque pour sa vie que constituerait un retour au Cameroun. Il y a donc lieu de procéder au contrôle du droit fédéral en se fondant exclusivement sur les faits retenus par l'instance précédente.</w:t>
      </w:r>
    </w:p>
    <w:p>
      <w:r>
        <w:rPr>
          <w:b/>
        </w:rPr>
        <w:t>E. 3.3</w:t>
      </w:r>
    </w:p>
    <w:p>
      <w:r>
        <w:t>Le Tribunal cantonal a estimé à juste titre, sur la base des faits qu'il a retenus, que X.________ n'avait pas été victime de violences conjugales au sens donné à cette expression par la jurisprudence du Tribunal fédéral. Il suffit de se référer ici au considérant 2b de l'arrêt entrepris. Il en va de même s'agissant du danger de mort auquel l'exposerait un retour dans son pays. Le recourant a fait valoir ces mêmes arguments dans le cadre de sa demande d'asile. Dans sa décision du 8 juin 2004 (confirmée sur recours), l'Office fédéral des réfugiés a jugé que les déclarations du recourant sur ce point n'étaient pas vraisemblables et que son renvoi était dès lors raisonnablement exigible. Les pièces produites par l'intéressé dans le cadre de la procédure cantonale n'ont pas permis de remettre en cause cette appréciation et, comme indiqué (cf. supra consid. 3.2), les faits retenus par le Tribunal cantonal ne sont nullement frappés d'arbitraire. Le recourant invoque enfin son intégration pour s'opposer à son renvoi. Comme l'a relevé le Tribunal cantonal au consid. 2b, âgé de 44 ans, l'intéressé a vécu les 34 premières années de son existence au Cameroun. Ses racines socio-culturelles se trouvent dans ce pays où il a certainement conservé un cercle d'amis et de connaissances susceptibles de favoriser son retour. Son séjour de neuf ans en Suisse n'a pas pu lui faire perdre tous ses repères dans son pays où il a encore de la famille, notamment ses quatre enfants issus de précédentes relations. Quant à son intégration, elle ne sort pas de l'ordinaire. Certes, le recourant parle français, a un emploi et n'a jamais fait l'objet de condamnation pénale. Ces éléments ne sont toutefois pas si exceptionnels qu'ils feraient apparaître disproportionné son retour au Cameroun. A cela s'ajoute que son comportement en Suisse n'est pas exempt de tout reproche. L'intéressé n'a en effet pas obtempéré à la décision de renvoi prononcée à son encontre et a vécu plus de trois ans dans la clandestinité, ce qui relativise la durée de son séjour en Suisse. De plus, il a bénéficié pendant près d'une année des prestations de l'aide sociale et a contracté des dettes qui lui ont valu des poursuites. Au regard de ces éléments, il n'apparaît pas que la réintégration du recourant, qui est en bonne santé, dans son pays d'origine, serait fortement compromise.</w:t>
      </w:r>
    </w:p>
    <w:p>
      <w:r>
        <w:rPr>
          <w:b/>
        </w:rPr>
        <w:t>E. 3.4</w:t>
      </w:r>
    </w:p>
    <w:p>
      <w:r>
        <w:t>Dans ces circonstances, en jugeant que le recourant ne pouvait se prévaloir de l'art. 50 al. 1 let. b et al. 2 LEtr pour obtenir une prolongation de son autorisation de séjour, le Tribunal cantonal a respecté le droit fédéral.</w:t>
      </w:r>
    </w:p>
    <w:p>
      <w:r>
        <w:rPr>
          <w:b/>
        </w:rPr>
        <w:t>E. 4</w:t>
      </w:r>
    </w:p>
    <w:p>
      <w:r>
        <w:t>Les considérants qui précèdent conduisent au rejet du recours dans la limite de sa recevabilité. Le recours étant d'emblée dénué de chances de succès, la requête d'assistance judiciaire est rejetée ( art. 64 LTF ). Succombant, le recourant doit supporter les frais judiciaires (art. 65 al. 2 et 3 et 66 al. 1 LTF), lesquels seront fixés en tenant compte de sa situation économique.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