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2C_771/2011 vom 29. März 2012</w:t>
      </w:r>
    </w:p>
    <w:p>
      <w:r>
        <w:t>Bundesgericht, 2012-03-29, DE</w:t>
      </w:r>
    </w:p>
    <w:p>
      <w:r>
        <w:rPr>
          <w:b/>
        </w:rPr>
        <w:t xml:space="preserve">Quelle: </w:t>
      </w:r>
      <w:r>
        <w:t>https://mcp.opencaselaw.ch/entscheid/bger_2C_771_2011</w:t>
      </w:r>
    </w:p>
    <w:p>
      <w:r>
        <w:t>FR: TF 2C_771/2011 du 29 mars 2012</w:t>
      </w:r>
    </w:p>
    <w:p>
      <w:r>
        <w:t>IT: TF 2C_771/2011 del 29 marzo 2012</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Vorliegend geht es nicht um die erstmalige Erteilung oder die Verlängerung, sondern um den Widerruf einer bereits gewährten Bewilligung. Die Beschwerde bleibt in diesem Zusammenhang zulässig, soweit die Bewilligung - wäre sie nicht widerrufen worden - nach wie vor Rechtswirkungen entfalten würde. Dies ist bei der unbefristeten Niederlassungsbewilligung der Fall (vgl. BGE 135 II 1 E. 1.2.1 S. 4). Die Zulässigkeit des Rechtsmittels beruht auf dem schutzwürdigen Vertrauen, dass eine einmal erteilte Bewilligung für die Dauer ihrer Gültigkeit fortbesteht und grundsätzlich nicht in die entsprechende Rechtsposition eingegriffen wird (vgl. Urteil 2C_515/2009 vom 27. Januar 2010 E. 1.1 mit Hinweisen). Als Adressat des angefochtenen, kantonal letztinstanzlichen Urteils ( Art. 86 Abs. 1 lit. d BGG ) ist der Beschwerdeführer ohne Weiteres zur Beschwerdeführung legitimiert ( Art. 89 Abs. 1 BGG ). Auf das im Übrigen form- und fristgerecht eingereichte Rechtsmittel ( Art. 42 und Art. 100 Abs. 1 BGG ) ist daher grundsätzlich einzutreten (unter Vorbehalt von E. 1.2 und E. 1.3 hiernach).</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t>Die beim Bundesgericht eingereichte Beschwerde unterscheidet sich nur unwesentlich von der Eingabe, welche der Beschwerdeführer vor Verwaltungsgericht eingereicht hat. Die Beschwerdebegründung setzt sich kaum mit den differenzierten Erwägungen des Verwaltungsgerichts auseinander und legt insbesondere nicht substantiiert dar, inwiefern diese Bundesrecht verletzen sollen. Es erscheint deshalb als fraglich, ob überhaupt eine formgültige Beschwerde vorliegt ( BGE 134 II 244 E. 2.3 S. 246 f.). Die Frage kann jedoch offen bleiben, da die Beschwerde ohnehin abgewiesen werden muss.</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w:t>
      </w:r>
    </w:p>
    <w:p>
      <w:r>
        <w:rPr>
          <w:b/>
        </w:rPr>
        <w:t>E. 2.2</w:t>
      </w:r>
    </w:p>
    <w:p>
      <w:r>
        <w:t>Ebenso ist ein Bewilligungswiderruf gemäss Art. 63 Abs. 1 lit. b und Art. 63 Abs. 2 AuG u.a. dann möglich, wenn der Ausländer in schwerwiegender Weise gegen die öffentliche Sicherheit und Ordnung verstossen oder diese gefährdet hat. Dabei ist in erster Linie auf den Stellenwert des beeinträchtigten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im Sinne von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 BGE 137 II 297 E. 3 S. 302 ff. mit Hinweisen).</w:t>
      </w:r>
    </w:p>
    <w:p>
      <w:r>
        <w:rPr>
          <w:b/>
        </w:rPr>
        <w:t>E. 2.3</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(Art. 10 Abs. 1 lit. a und Art. 11 Abs. 3 des Bundesgesetzes vom 26. März 1931 über Aufenthalt und Niederlassung der Ausländer [ANAG; in Kraft gewesen bis zum 31. Dezember 2007])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 BGE 122 II 433 E. 2c S. 436; 130 II 176 E. 4.4.2 S. 190).</w:t>
      </w:r>
    </w:p>
    <w:p>
      <w:r>
        <w:rPr>
          <w:b/>
        </w:rPr>
        <w:t>E. 2.4</w:t>
      </w:r>
    </w:p>
    <w:p>
      <w:r>
        <w:t>Die Notwendigkeit einer Verhältnismässigkeitsprüfung ergibt sich auch aus Art. 8 Ziff. 2 EMRK , soweit überhaupt ein Eingriff in das von Art. 8 Ziff. 1 EMRK geschützte Privat- und Familienleben vorliegt; ein solcher ist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bei jener nach Art. 11 Abs. 3 ANAG bzw. nach Art. 96 Abs. 1 AuG -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3.1</w:t>
      </w:r>
    </w:p>
    <w:p>
      <w:r>
        <w:t>Der Beschwerdeführer wurde unter anderem rechtskräftig zu einer Freiheitsstrafe von fünf Jahren und sechs Monaten verurteilt, womit er einen Widerrufsgrund im Sinne von Art. 62 lit. b AuG gesetzt hat. Ob das Verhalten des Beschwerdeführers zugleich als schwerwiegender Verstoss gegen die öffentliche Sicherheit und Ordnung im Sinne von Art. 63 Abs. 1 lit. b AuG zu werten ist, bedarf somit keiner näheren Betrachtung, weil dieser Widerrufsgrund in der vorliegenden Konstellation ohnehin nur subsidiär zur Anwendung kommt, wenn es an den Voraussetzungen für einen Widerruf in Anwendung von Art. 62 lit. b (in Verbindung mit Art. 63 Abs. 1 lit. a) AuG gebricht (vgl. BGE 135 II 377 E. 4.2 S. 381).</w:t>
      </w:r>
    </w:p>
    <w:p>
      <w:r>
        <w:rPr>
          <w:b/>
        </w:rPr>
        <w:t>E. 3.2</w:t>
      </w:r>
    </w:p>
    <w:p>
      <w:r>
        <w:t>Der Widerruf der Niederlassungsbewilligung muss - wie in E. 2.3 erwähnt - verhältnismässig sein. Es ist eine sorgfältige Prüfung des Einzelfalles vorzunehmen. Insoweit haben die zuständigen Behörden namentlich die öffentlichen Interessen und die persönlichen Verhältnisse sowie den Grad der Integration der betroffenen Ausländer zu berücksichtigen (Art. 96 AuG).</w:t>
      </w:r>
    </w:p>
    <w:p>
      <w:r>
        <w:rPr>
          <w:b/>
        </w:rPr>
        <w:t>E. 3.2.1</w:t>
      </w:r>
    </w:p>
    <w:p>
      <w:r>
        <w:t>Die Vorinstanz hat richtig festgestellt, dass Ausgangspunkt und Massstab der fremdenpolizeilichen Güterabwägung in erster Linie die Schwere des Verschuldens ist, das sich in der Dauer der Freiheitsstrafe niederschlägt (vgl. angefochtener Entscheid E. 3a). Sie hat zudem mit überzeugender Begründung, auf welche verwiesen werden kann, dargelegt, dass der Beschwerdeführer über einen langen Zeitraum von sechs Jahren intensiv - vor allem über das Medium Internet - delinquiert hat (über 1'600 Fälle von betrügerischen Bestellungen im Internet mit einem Deliktsbetrag von über Fr. 700'000.--) und sich auch durch mehrmalige Inhaftierungen nicht hat davon abbringen lassen, nach jeweiliger Entlassung erneut im grossen Stil gegen das Strafgesetz zu verstossen. Zwar liegen keine eigentlichen Gewaltdelikte vor, hingegen fallen insbesondere auch die begangenen Betäubungsmitteldelikte negativ ins Gewicht: Der Beschwerdeführer hat mehrfach gegen Art. 19 Ziff. 1 aBetmG (SR 812.121) verstossen, indem er an verschiedene Abnehmer Heroin und Kokain verkauft hat. Zudem hat er versucht, eine Person als Drogenverkäufer anzuwerben (vgl. Urteil des Obergerichts des Kantons Luzern vom 15. Dezember 2009 Ziff. 3.4). Die Schwere der begangenen Straftaten und die Schuld des Beschwerdeführers sind demnach vom Obergericht und der Vorinstanz zu Recht als sehr schwer bezeichnet worden (vgl. angefochtener Entscheid E. 3b).</w:t>
      </w:r>
    </w:p>
    <w:p>
      <w:r>
        <w:rPr>
          <w:b/>
        </w:rPr>
        <w:t>E. 3.2.2</w:t>
      </w:r>
    </w:p>
    <w:p>
      <w:r>
        <w:t>Nichts zu seinen Gunsten kann der Beschwerdeführer aus seinem Verhalten in der Zeit nach der (letzten) Tat ableiten: Grundsätzlich wird eine gute Führung im Strafvollzug vom Strafgefangenen generell erwartet und lässt angesichts der dort vorhandenen, verhältnismässig engmaschigen Betreuung keine verlässlichen Rückschlüsse auf das künftige Verhalten in Freiheit zu. Hier kommt dazu, dass sich der Beschwerdeführer im vorzeitigen Strafvollzug nicht massnahmewillig gezeigt hat (vgl. angefochtener Entscheid E. 3c).</w:t>
      </w:r>
    </w:p>
    <w:p>
      <w:r>
        <w:t>Ebenfalls gegen den Beschwerdeführer spricht der Umstand, dass er mehrfach auch nach einer Inhaftierung wieder straffällig geworden ist. Seine Begründung dazu ("Ich war der Auffassung, eine Methode gefunden zu haben, wie ich unendlich und einschränkungslos delinquieren kann, ohne dass man mir etwas anhaben kann") sowie die Behauptung, er sei "an sich nicht wegen schwerwiegenden Delikten so lange im Gefängnis" gewesen, lassen auf wenig Einsicht in sein kriminelles Verhalten schliessen.</w:t>
      </w:r>
    </w:p>
    <w:p>
      <w:r>
        <w:rPr>
          <w:b/>
        </w:rPr>
        <w:t>E. 3.2.3</w:t>
      </w:r>
    </w:p>
    <w:p>
      <w:r>
        <w:t>Die Vorinstanz hat im Weiteren eine sorgfältige Interessenabwägung vorgenommen und zu Recht erkannt, für den Verbleib des Beschwerdeführers in der Schweiz spreche einzig der Umstand, dass er schon seit über 25 Jahren in der Schweiz lebe. Sodann stellte sie verbindlich fest, es bestünden weder soziale, kulturelle noch wirtschaftliche Bindungen zur Schweiz, die über eine normale Integration hinausgehen (vgl. angefochtener Entscheid E. 4a). Auch dieser Feststellung ist zuzustimmen. Entgegen der Auffassung des Beschwerdeführers führt der Umstand, dass er einen grossen Teil seines Lebens in der Schweiz verbracht hat, nicht automatisch zur Annahme einer vollständigen Verwurzelung. Vielmehr trifft zu, dass der Beschwerdeführer, obwohl er hier aufgewachsen und zur Schule gegangen ist und Schweizerdeutsch spricht, über keine vertieften sozialen Beziehungen verfügt und auch keine Berufsausbildung vollendet hat. Immerhin scheint er zur Zeit einer geregelten Arbeit nachzugehen.</w:t>
      </w:r>
    </w:p>
    <w:p>
      <w:r>
        <w:t>Der Schluss der Vorinstanz wird zudem bekräftigt durch die Tatsache, dass der Beschwerdeführer während seines Aufenthaltes in der Schweiz mit der wiederholten Straffälligkeit eine gleichgültige Haltung der hiesigen Rechtsordnung gegenüber bezeugte und sich auch durch strafrechtliche Massnahmen nicht abschrecken liess. Schliesslich ergibt sich aus den Akten, dass der Beschwerdeführer im Betreibungsregister mit 14 Betreibungen über einen Betrag von Fr. 7'336.05 verzeichnet war und vier Verlustscheine in der Höhe von Fr. 2'819.85 vorlagen (Stand August 2010).</w:t>
      </w:r>
    </w:p>
    <w:p>
      <w:r>
        <w:rPr>
          <w:b/>
        </w:rPr>
        <w:t>E. 3.2.4</w:t>
      </w:r>
    </w:p>
    <w:p>
      <w:r>
        <w:t>Die Vorinstanz legt weiter dar, dass den Beschwerdeführer eine Rückkehr in den Kosovo vermutlich hart treffen würde, zumal er es versäumt habe, sich in der Schweiz beruflich zu qualifizieren. Andererseits dürften die seit seiner Entlassung erworbenen Kenntnisse im Telefoniebereich auch im Kosovo hilfreich sein (vgl. angefochtener Entscheid E. 4b). Sie schliesst daraus, dem ledigen und kinderlosen Beschwerdeführer sei es zumutbar, die Schweiz zu verlassen und in seinem Heimatland Fuss zu fassen. Diese Einschätzung ist nicht zu beanstanden, auch wenn der Beschwerdeführer behauptet, er spreche gar nicht oder nur wenig Albanisch und habe keine Bezugspersonen im Kosovo. Es ist nicht ersichtlich, weshalb es dem Beschwerdeführer nicht möglich sein sollte, in seiner Heimat wieder ein neues Beziehungsnetz aufzubauen und dabei seine Kenntnisse der albanischen Sprache noch zu verbessern. Selbst wenn der Beschwerdeführer am Verbleib in der Schweiz verständlicherweise sehr interessiert sein mag, besteht damit nicht ein derart gewichtiges privates Interesse, welches das sehr erhebliche öffentliche Interesse an der Fernhaltung des Beschwerdeführers zu überwiegen vermöchte.</w:t>
      </w:r>
    </w:p>
    <w:p>
      <w:r>
        <w:rPr>
          <w:b/>
        </w:rPr>
        <w:t>E. 3.3</w:t>
      </w:r>
    </w:p>
    <w:p>
      <w:r>
        <w:t>Es wird schliesslich auch nicht in vertretbarer Weise geltend gemacht, inwiefern sich unter den gegebenen Umständen ein Anspruch auf Bewilligungsverlängerung aus Art. 13 BV bzw. Art. 8 EMRK ableiten liesse. Im Übrigen erfüllt die Beschwerde in diesem Punkt die Begründungsanforderungen von Art. 106 Abs. 2 BGG nicht, weshalb darauf nicht weiter einzugehen ist (vgl. E. 1.3 hiervor).</w:t>
      </w:r>
    </w:p>
    <w:p>
      <w:r>
        <w:rPr>
          <w:b/>
        </w:rPr>
        <w:t>E. 3.4</w:t>
      </w:r>
    </w:p>
    <w:p>
      <w:r>
        <w:t>Zusammenfassend ist festzuhalten, dass die Vorinstanz im vorliegenden Fall zu Recht erkannt hat, bei einer Gesamtwürdigung des Verhaltens des Beschwerdeführers sei das öffentliche Interesse an seiner Fernhaltung höher zu gewichten als sein persönliches Interesse an einem Verbleib in der Schweiz.</w:t>
      </w:r>
    </w:p>
    <w:p>
      <w:r>
        <w:rPr>
          <w:b/>
        </w:rPr>
        <w:t>E. 4.1</w:t>
      </w:r>
    </w:p>
    <w:p>
      <w:r>
        <w:t>Nach dem Dargelegten ist der Widerruf der Niederlassungsbewilligung bundesrechts- und konventionskonform. Die Beschwerde erweist sich damit als unbegründet und ist abzuweisen.</w:t>
      </w:r>
    </w:p>
    <w:p>
      <w:r>
        <w:rPr>
          <w:b/>
        </w:rPr>
        <w:t>E. 4.2</w:t>
      </w:r>
    </w:p>
    <w:p>
      <w:r>
        <w:t>Diesem Ausgang entsprechend hat der Beschwerdeführer die Kosten des bundesgerichtlichen Verfahrens zu tragen (Art. 65 f. BGG).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