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2C_767/2016 vom 25. März 2020</w:t>
      </w:r>
    </w:p>
    <w:p>
      <w:r>
        <w:t>Bundesgericht, 2020-03-25, IT</w:t>
      </w:r>
    </w:p>
    <w:p>
      <w:r>
        <w:rPr>
          <w:b/>
        </w:rPr>
        <w:t xml:space="preserve">Quelle: </w:t>
      </w:r>
      <w:r>
        <w:t>https://mcp.opencaselaw.ch/entscheid/bger_2C_767_2016</w:t>
      </w:r>
    </w:p>
    <w:p>
      <w:r>
        <w:t>FR: TF 2C_767/2016 du 25 mars 2020</w:t>
      </w:r>
    </w:p>
    <w:p>
      <w:r>
        <w:t>IT: TF 2C_767/2016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la replica e le osservazioni finali adempiono solo in parte alle condizioni di motivazione esposte. Nella misura in cui non le rispettano sono pertanto inammissibili.</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Gli argomenti avanzati dalla ricorrente (cfr. pag. 16 a 19 del gravame) affinché il Tribunale federale esamini la presente fattispecie senza alcun riserbo non sono idonei a indurre un cambiamento della citata prassi e non vanno pertanto considerati.</w:t>
      </w:r>
    </w:p>
    <w:p>
      <w:r>
        <w:t>Infine, 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t>In quanto, nelle sue conclusioni formulate in via subordinata, la ricorrente postula l'annullamento dell'art. 35 ultimo capoverso LTPub, la richiesta si rivela di conseguenza inammissibile.</w:t>
      </w:r>
    </w:p>
    <w:p>
      <w:r>
        <w:rPr>
          <w:b/>
        </w:rPr>
        <w:t>E. 1.6.1</w:t>
      </w:r>
    </w:p>
    <w:p>
      <w:r>
        <w:t>Sia nella sua replica del 9 dicembre 2016 che nelle sue osservazioni del 21 marzo 2017 la ricorrente chiede di espungere parzialmente le osservazioni presentate il 4 ottobre 2016 dal Consiglio di Stato (pag. 1 a 39 nonché i rinvii a dette pagine contenute in quelle successive) e di non considerare il documento B ivi allegato. Rimprovera al Consiglio di Stato di non esprimervisi sul merito del proprio gravame rispettivamente di proporre un documento che elude le questioni e i problemi giuridici principali sollevati nel proprio ricorso.</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dei successivi scambi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edificati ed edificabili sui quali sono presenti dagli 80 ai 208 posteggi rispettivamente quale locataria di posteggi in parcheggi di più di 50 posti, essa fa parte della cerchia dei soggetti giuridici qualificabili quali debitori della controversa tassa di collegamento (art. 35b e 35c LTPub combinati con l'art. 3 RTColl). Premesse queste considerazioni, non è quindi per nulla inverosimile che essa venga confrontata con l'applicazione della tassa ora contestata. La sua legittimazione ad agire va pertanto di principio ammessa.</w:t>
      </w:r>
    </w:p>
    <w:p>
      <w:r>
        <w:rPr>
          <w:b/>
        </w:rPr>
        <w:t>E. 2.1</w:t>
      </w:r>
    </w:p>
    <w:p>
      <w:r>
        <w:t>Dopo una premessa sul contesto politico, sull'iter legislativo e sulla propria situazione (ha già sviluppato per i suoi stabilimenti un proprio piano di mobilità aziendale [in particolare il</w:t>
      </w:r>
    </w:p>
    <w:p>
      <w:r>
        <w:t>"carpooling" ] che tuttavia non può ancora aumentare), la ricorrente ritiene che la tassa di collegamento litigiosa è in realtà un'imposta, segnatamente un'imposta di rivalsa dei costi, con valenza orientativa, la quale però non adempie le esigenze ivi connesse. Afferma infatti che è stata concepita quale tributo per la copertura dei bisogni finanziari dello Stato, senza che le persone ivi assoggettate ne traggano un beneficio concreto individuale o ricevano una controprestazione rispettivamente senza che sia dimostrata l'esistenza di uno stretto rapporto tra la cerchia degli assoggettati e i costi del trasporto pubblico. Adduce poi che manca lo scopo orientativo (non essendovi alcun obbligo di ribaltare la tassa sugli utenti dei posteggi), che chi vi è assoggettato non può in realtà optare per un comportamento conforme allo scopo e agli obiettivi della legge, vista la scarsità dei trasporti pubblici nel Cantone, che attua una discriminazione orizzontale (solo 67 dei 135 Comuni ticinesi essendo toccati) nonché verticale (la cerchia degli assoggettati riducendosi a soli 200 proprietari, mentre in Ticino sono immatricolate più di 220'000 automobili, senza contare i 60'000 veicoli di frontalieri) e che disattende vari principi costituzionali (esposti e trattati di seguito).</w:t>
      </w:r>
    </w:p>
    <w:p>
      <w:r>
        <w:rPr>
          <w:b/>
        </w:rPr>
        <w:t>E. 2.2</w:t>
      </w:r>
    </w:p>
    <w:p>
      <w:r>
        <w:t>Descritti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w:t>
      </w:r>
    </w:p>
    <w:p>
      <w:r>
        <w:t>"impôt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w:t>
      </w:r>
    </w:p>
    <w:p>
      <w:r>
        <w:t>"impôts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w:t>
      </w:r>
    </w:p>
    <w:p>
      <w:r>
        <w:t>"impôt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principio della legalità. In primo luogo afferma che la normativa litigiosa non contiene tutti gli elementi determinanti, difetterebbe segnatamente il campo di applicazione territoriale, che stabilisce direttamente la cerchia dei contribuenti e, di riflesso, le esenzioni, il quale è disciplinato non dalla LTPub, bensì dal Regolamento della legge sullo sviluppo territoriale, nel suo Allegato 1. In secondo luogo, richiamato l'art. 35s LTPub (secondo cui incombe al Consiglio di Stato emanare il regolamento di applicazione [RTColl] in cui definisce l'autorità competente e stabilisce le prescrizioni di dettaglio), la ricorrente considera che alcuni disposti del RTColl, segnatamente l'art. 2 cpv. 2, l'art. 4 lett. b, gli art. 5, 6 lett. d nonché l'art. 8 cpv. 2 sono ben oltre in realtà che delle prescrizioni di dettaglio, non sono sempre chiari ed inaspriscono il contenuto della legge. In mancanza di una sufficiente base legale gli stessi dovrebbero quindi, a suo parere, essere annullati.</w:t>
      </w:r>
    </w:p>
    <w:p>
      <w:r>
        <w:t>Da parte sua il Consiglio di Stato considera invece che nella legge (in senso formale) querelata figurano tutti gli elementi richiesti, cioè la cerchia dei contribuenti (art. 35b e 35c LTPub), le esenzioni (art. 35d LTPub) nonché i criteri per determinare l'ammontare della tassa e il suo calcolo (art. 35e e 35f LTPub). Aggiunge poi che il principio di legalità non esclude affatto che il Governo possa e debba affinare le disposizioni necessarie all'applicazione dell'imposta e che il regolamento di applicazione (RTColl) rientra in questi limiti.</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4.4 pag. 236;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t>Per quanto concerne le critiche rivolte ad alcuni articoli del RTColl, le stesse non soddisfano le esigenze di motivazione poste dall' art. 42 cpv. 2 LTF (cfr. consid. 1.4 in precedenza), la ricorrente limitandosi in proposito ad esporre la propria opinione, senza dimostrare che il margine di manovra conferito all'esecutivo per definire le prescrizioni di dettaglio sia eccessivo rispettivamente non permetta di individuare i limiti e le modalità di prelievo del tributo; le stesse sfuggono pertanto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5.6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indurli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anche se dichiara di non essere direttamente toccata, dell'imposizione secondo la capacità economica ( art. 127 cpv. 2 Cost. ) nonché di vari diritti e principi costituzionali, cioè del principio della proporzionalità e della buona fede ( art. 5 Cost. ), dell'uguaglianza giuridica ( art. 8 Cost. ), del divieto dell'arbitrio ( art. 9 Cost. ), della parità di trattamento tra concorrenti diretti ( art. 27, 36 e 94 Cost. ), della garanzia della proprietà privata ( art. 26 e 36 Cost. ), della libertà economica ( art. 27 e 94 Cost. ) e delle garanzie procedurali ( art. 29 Cost. ) nonché del divieto di retroattività delle leggi.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rinvii). È pertanto compito del legislatore fiscale, il quale fruisce di un esteso potere di apprezzamento ( DTF 140 II 157 consid. 7.3 pag. 161 seg. con richiami),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in primo luogo che così come è stata concepita la tassa di collegamento querelata viola in maniera lampante e sotto più aspetti il principio dell'uguaglianza dell'imposizione. In primo luogo contesta il fatto che l'assoggettamento sia limitato, dal profilo territoriale (vedasi art. 35b cpv. 1 LTPub), ai soli Comuni del Cantone nei quali si applica, giusta gli art. 42 e 43 LST, il Regolamento cantonale posteggi privati, costituito dagli art. 51 a 62 RLst nonché dall'Allegato 1 (cioè l'elenco dei Comuni interessati). A suo parere, non vi è alcuna giustificazione possibile per ammettere un trattamento differente tra due proprietari di fondi unicamente in base al Comune di situazione. Se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l'art.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27),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i posti auto al servizio di abitazioni sono esclusi dall'assoggettamento (art. 35b cpv. 2 LTPub) allorché, a suo avviso, generano lo stesso numero di movimenti dei posteggi situati sul luogo di lavoro (si pensi ai genitori che accompagnano i figli a scuola proprio nelle ore di punta).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26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t>La ricorrente considera che l'esenzione dei posteggi per i visitatori di strutture sociosanitarie (art. 6 lett. c) nonché di quelli riservati ai veicoli di servizio, fornitori, carico e scarico, esposizione e deposito (art. 4 lett. b) disciplinata nel RTColl non poggia su di una base legale sufficiente non potendo essere qualificata di prescrizione di dettaglio (art. 35s LTPub). Anche questa censura, non meglio sostanziata, non soddisfa le esigenze di motivazione poste dai combinati art. 42 cpv. 2 e 106 cpv. 2 LTFed è inammissibile. Al riguardo ci si limita a puntualizzare che queste categorie di posteggi all'evidenza non rientrano nella problematica oggetto di disamina, ossia quella della saturazione della rete viaria all'ora di punta, ragione per cui trattarne nel regolamento di applicazione non porta a disattendere l'esigenza della base legale.</w:t>
      </w:r>
    </w:p>
    <w:p>
      <w:r>
        <w:t>Per quanto poi la ricorrente critichi il fatto che non si considera il traffico generato dai 60'000 frontalieri che lavorano in Ticino, la critica, non meglio motivata, sfugge ad un esame di merito ( art. 42 cpv. 2 LTF ).</w:t>
      </w:r>
    </w:p>
    <w:p>
      <w:r>
        <w:rPr>
          <w:b/>
        </w:rPr>
        <w:t>E. 5.3</w:t>
      </w:r>
    </w:p>
    <w:p>
      <w:r>
        <w:t>La ricorrente intravede una violazione del diritto di proprietà ( art. 26 cpv. 1 Cost. ) nel fatto che gli art. 35i e 35r LTPub nonché l'art. 10 RTColl permettono di accedere alla proprietà privata anche senza preavviso nonché instaurano multe fino a fr. 10'000.-- per chi ostacola l'accertamento dei dati e quindi l'accesso stesso alla proprietà privata. Considera che un'auto-dichiarazione sarebbe sufficiente e che, salvo in casi di reati penali, alla proprietà privata si accede solo con preavviso. Nei disposti in questione non vi è pertanto proporzionalità né ragionevolezza. È dubbio che detta censura sia sufficientemente sostanziata (art. 42 cpv. 2 e 106 cpv. 2 LTF). La stessa andrebbe in ogni caso respinta per i motivi esposti di seguito.</w:t>
      </w:r>
    </w:p>
    <w:p>
      <w:r>
        <w:t>Il Consiglio di Stato osserva che nel conteggio dei posteggi il proprietario ha la facoltà di partecipare (art. 10 cpv. 2 RTColl), ciò che implica che verrà avvisato per tempo. All'autorità è però riservata la possibilità di accedere alla proprietà (per effettuare detto conteggio) anche senza preavviso, se necessario. Ciò può essere il caso quando non si potrebbe, come suggerito dalla ricorrente, disporre di fotografie aeree, ad esempio per i parcheggi coperti, oppure quando vi è il dubbio che l'occupazione dei posteggi corrisponda a quanto autorizzato. In tal caso si giustifica di procedere ad un controllo senza preavviso per evitare che venga creata una situazione ad hoc, divergente dal reale utilizzo. L'autorità aggiunge che la facoltà di accedere ai posteggi privati senza preavviso potrà essere utilizzata solo in simili casi. Viste queste spiegazioni le critiche della ricorrente si rivelano prive di pertinenza, le esigenze di proporzionalità nonché d'interesse pubblico esatte per restringere il diritto di proprietà essendo date in concreto.</w:t>
      </w:r>
    </w:p>
    <w:p>
      <w:r>
        <w:t>Nella misura in cui, criticando i medesimi articoli di legge, la ricorrente si duole della violazione del diritto alla vita e alla libertà personale ( art. 10 Cost. ) nonché della protezione della sfera privata ( art. 13 cpv. 1 Cost. ) la critica, immotivata (art. 42 cpv. 2 e 106 cpv. 2 LTF) sfugge ad un esame di merito.</w:t>
      </w:r>
    </w:p>
    <w:p>
      <w:r>
        <w:rPr>
          <w:b/>
        </w:rPr>
        <w:t>E. 5.4.1</w:t>
      </w:r>
    </w:p>
    <w:p>
      <w:r>
        <w:t>Censurando sempre un'ingiustificata disparità di trattamento nonché la disattenzione del divieto dell'arbitrio, del principio della proporzionalità e dei principi costituzionali dell'imposizione fiscale garantiti dall' art. 127 cpv. 2 Cost. (generalità e uniformità dell'imposizione ed imposizione secondo la capacità contributiva), la ricorrente adduce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di finanziare da soli un terzo dei costi di un servizio di base quale è quello del trasporto pubblico, ritenuto che essi non ne traggono alcun vantaggio particolare per rapporto al resto della popolazione rispettivamente che queste spese non sono loro imputabili (non essendo stata eseguita alcuna raccolta dati che dimostri che ciò sia il caso) come non possono essere a loro ricondotti i problemi di traffico esistenti i quali sono semmai imputabili all'insieme dei pendolari che quotidianamente utilizzano l'automobile per recarsi al lavoro. Al riguardo puntualizza che non si è tenuto conto nel dovuto modo del fatto che gran parte dei frontalieri, che partecipano alla congestione della rete viaria, si parcheggia però sui cantieri o presso le economie domestiche (quindi abitazioni private) ove lavora né di chi, per ubicazione del posto di lavoro e/o per orari di lavoro non ha la possibilità di far capo ai trasporti pubblici né dell'effettivo impatto dei parcheggi sul traffico, sulla mobilità e sulla qualità dell'aria (ad esempio, nel caso suo non si considera che ha già attuato dei piani di mobilità con</w:t>
      </w:r>
    </w:p>
    <w:p>
      <w:r>
        <w:t>"carpooling" ), né infine, che la concentrazione dei posteggi è stata imposta dalla pianificazione federale rispettivamente che è stata quella cantonale a definire le zone industriali, artigianali e commerciali e i necessari parcheggi così come quelle in cui sono ammessi i grandi generatori di traffico. Allo stesso modo nulla giustificherebbe la soglia di 50 posteggi (determinante per far scattare l'assoggettamento) né di escludere dall'assoggettamento i fondi sui quali vi sono meno di 50 posteggi, senza tralasciare che aumentando i posteggi da 49 a 50 l'onere contributivo passa da fr. 0.-- a circa fr. 63'000 -- annui di media (fr. 3.50 al giorno x 50 posteggi x 12 mesi, senza alcuna franchigia). Infine, la circostanza che la tassa querelata possa essere ribaltata sugli utenti (finali) dei parcheggi, oltremodo dubbia date le difficoltà legate ad un tale trasferimento (modifiche dei contratti di lavoro e/o di locazione; installazione, quando ciò è attuabile, di un sistema di controllo [barriere e casse automatiche], ecc.), non muterebbe nulla per quanto riguarda la non conformità del tributo con i vari principi costituzionali citati.</w:t>
      </w:r>
    </w:p>
    <w:p>
      <w:r>
        <w:rPr>
          <w:b/>
        </w:rPr>
        <w:t>E. 5.4.2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12).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Per quanto concerne il richiamo alla pianificazione fatto dalla ricorrente, il Consiglio di Stato osserva che il piano direttore non osta agli obiettivi di riduzione e di contenimento del traffico perseguiti dalla tassa di collegamento, nemmeno nei comparti in cui è possibile ubicare grandi generatori di traffico. Infatti, questi ultimi sono subordinati alla verifica della capacità massima di traffico del comparto tenuto conto della capacità della rete stradale, dell'allacciamento al trasporto pubblico e delle sue potenzialità di sviluppo, come pure degli obiettivi cantonali in materia di protezione dell'ambiente nonché legati ad una strategia restrittiva di regolamentazione dei posteggi (tassazione dei medesimi e promozione di sistemi di trasporto aziendale).</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5.4.3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ricorso pag. 45),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centinaia di posteggi (pag. 35 seg. del ricorso) e per i quali l'onere contributivo risulta rilevante. Ad esempio, come spiegato dal Consiglio di Stato (cfr. risposta del 4 ottobre 2016 pag. 11 e 12 seg.) un posteggio con 100 posti destinati al personale ed altri utenti e un'imposizione su 250 giorni all'anno dà luogo a un contributo pari a fr. 87'500.-- mentre un parcheggio con 500 posti destinati a clienti e visitatori e un'imposizione su 300 giorni all'anno (cfr. art. 35e cpv. 5 LTPub) dà luogo a un contributo pari a fr. 225'000.--. Ora, come addotto dalla ricorrente e non confutato dal Consiglio di Stato, essa dispone di centinaia di posti auto.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come illustrato in precedenza, comunque cospicuo, senza dimenticare che viene prelevata soltanto su una parte minima dei posteggi esistenti in Ticino.</w:t>
      </w:r>
    </w:p>
    <w:p>
      <w:r>
        <w:t>Il fatto poi che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192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5.5</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5.6</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parcheggio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In primo luogo rileva che l'importo annuo da pagare per ogni singolo posteggio, nel caso dell'imposizione a fr. 3.50 al giorno per sette giorni alla settimana corrisponde a fr. 105.-- mensili, ossia due o tre volte la pigione usualmente percepita sui posteggi in zone industriali e/o artigianali e/o commerciali in Ticino (la tariffa FFS chiede dai fr. 30.-- ai fr. 50.-- al mese per un posteggio all'aperto). Detta pigione è addirittura da sei a nove volte superiore all'indennità che viene usualmente riconosciuta dall'ente pubblico per un'occupazione temporanea di un terreno. Rileva poi che l'imposta è esosa ed equivale ad un'espropriazione, siccome per non pagarla il proprietario deve rinunciare al diritto stesso (acquisito con la licenza edilizia) di utilizzare il suo fondo, rinuncia che non verrà però mai indennizzata. Secondo la ricorrente l'imposta è anche confiscatoria (ad esempio per le società che hanno quale scopo la locazione, come gli autosili privati) e priva il proprietario, visto il suo ammontare, di qualsiasi reddito proveniente dal fondo in questione.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segnatamente della proporzionalità delle limitazioni alla medesima. In quanto può essere dedotto dall'esposto ricorsuale che intravede una violazione del citato principio nel fatto che l'aggravio che pesa sui proprietari che possiedono 50 posteggi e più interviene nel gioco della concorrenza, la critica, per i motivi esposti di seguito, si rivela infondata.</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5.4.3). Anche su questo punto il ricorso si rivela privo di pertinenza e va pertanto respinto.</w:t>
      </w:r>
    </w:p>
    <w:p>
      <w:r>
        <w:rPr>
          <w:b/>
        </w:rPr>
        <w:t>E. 9.1</w:t>
      </w:r>
    </w:p>
    <w:p>
      <w:r>
        <w:t>Invocando gli art. 5 Cost. (stato di diritto, sicurezza del diritto), 8 e 9 Cost. (divieto della retroattività), 26 e 27 in relazione con l'art. 36 nonché l' art. 29 Cost. , così come i principi della non retroattività, della certezza del diritto, della legalità e della buona fede, la ricorrente critica in seguito sia la messa in vigore in generale delle nuove norme e del regolamento di applicazione - censurando un intervento pesante su posizioni acquisite - sia l'entrata in vigore prevista per il 1° agosto 2016, la quale configurerebbe altresì arbitrio, sia, infine, gli art. 35e ultimo capoverso e 35g LTPub. Detti disposti prevedono che, in base alla situazione di fatto e sino alla cessazione dell'uso indebito o al conseguimento di un'autorizzazione a posteriori, i proprietari di fondi interamente o parzialmente adibiti a posteggio in assenza di valida autorizzazione edilizia devono versare un importo sostitutivo, pari all'ammontare più elevato tra quelli di cui all'art. 35e cpv. 2 LTPub, computato per 360 giorni. Osservando che per anni, non occorreva una licenza edilizia per realizzare i posteggi, la ricorrente considera che i parcheggi costruiti quando non era richiesta alcuna licenza edilizia, ma in conformità alle norme vigenti all'epoca, non possono essere ritenuti abusivi. Ora, le norme contestate portano, secondo lei, alla soluzione opposta (in mancanza della licenza edilizia, il posteggio è abusivo) e ledono pertanto i diritti e le garanzie sopraelencate.</w:t>
      </w:r>
    </w:p>
    <w:p>
      <w:r>
        <w:rPr>
          <w:b/>
        </w:rPr>
        <w:t>E. 9.2</w:t>
      </w:r>
    </w:p>
    <w:p>
      <w:r>
        <w:t>Per quanto concerne la censura legata alla messa in vigore della legge al 1° agosto 2016, la stessa si rivela priva di pertinenza, considerato che l'effetto sospensivo è stato accordato (cfr. punto E nei Fatti). Con riferimento invece alla messa in vigore in generale e alla portata degli art. 35e ultimo capoverso e 35g LTPub, in proposito la ricorrente si limita ad elencare i diritti e le garanzie costituzionali di cui censura la disattenzione, formulando affermazioni generiche, senza spiegare però in maniera precisa ed esauriente perché e in che misura sarebbero stati disattesi (art. 42 cpv. 2 e 106 cpv. 2 LTF). La censura sfugge ad un esame di merito.</w:t>
      </w:r>
    </w:p>
    <w:p>
      <w:r>
        <w:t>Tutt'al più si può osservare quanto segue. Per quanto concerne l'interpretazione della nozione di "posteggi abusivi" di cui all'art. 35g LTPub, emerge dal Messaggio del 4 novembre 2015 che l'obiettivo del legislatore era di sopprimere quelli che non erano in regola, ossia quelli realizzati in violazione della regolamentazione in vigore quando sono stati costruiti (nel Messaggio pag. 47 viene espressamente menzionato</w:t>
      </w:r>
    </w:p>
    <w:p>
      <w:r>
        <w:t>"ripristinare le situazioni illegali" ). Ne discende quindi che se la legislazione in vigore quando è stato creato un posteggio non richiedeva una licenza edilizia ma prevedeva altre esigenze che sono state soddisfatte, detto posteggio non può ora essere considerato abusivo. Se invece un posteggio è (stato) costruito senza ossequiare le relative esigenze poste dalla legge, lo stesso è giustamente considerato abusivo e deve pertanto essere rimosso oppure ottenere la necessaria sanatoria. Ciò corrisponde peraltro, come rilevato dal Consiglio di Stato (cfr. risposta del 4 ottobre 2016 pag. 43), a quanto previsto dall'art. 35g LTPub che si applica, a seconda dei casi, sino alla cessazione dell'uso indebito o sino al conseguimento di un'autorizzazione a posteriori (cpv. 1). Si può inoltre aggiungere che in presenza di un posteggio abusivo, realizzato cioè senza la necessaria autorizzazione rispettivamente per il quale non è stata ottenuta la necessaria sanatoria, non si può allora invocare con successo la protezione dei diritti acquisiti (in proposito vedasi sentenza 1C_63/2019 del 29 gennaio 2020 consid. 5.1 e richiami). Infine, una legge non è retroattiva (al riguardo sentenza 2C_84/2015 del 3 febbraio 2016 consid. 5.1 con numerosi riferimenti dottrinali e giurisprudenziali) quando, come in concreto, si applica solo a fatti posteriori alla sua entrata in vigore ma impone di tenere conto di elementi di fatto antecedenti al momento della sua applicazione, anche se tali fatti sono anteriori all'entrata in vigore della legge (cosiddetta</w:t>
      </w:r>
    </w:p>
    <w:p>
      <w:r>
        <w:t>"Rückanknüpfung" ).</w:t>
      </w:r>
    </w:p>
    <w:p>
      <w:r>
        <w:rPr>
          <w:b/>
        </w:rPr>
        <w:t>E. 10</w:t>
      </w:r>
    </w:p>
    <w:p>
      <w:r>
        <w:t>Richiamando l'art. 35g cpv. 2, gli art. 35h, 35i, 35l, 35m cpv. 2 e 3, gli art. 35n e 35r LTPub nonché l'art. 2 RTColl i quali, in sintesi, disciplinano la procedura di prelievo dell'imposta, la ricorrente osserva che gli stessi instaurano una procedura di tassazione parallela e speciale non assegnata al Dipartimento delle finanze e dell'economia, come lo vorrebbe la logica, ma alla Sezione della mobilità del Dipartimento del territorio che nulla ha a che vedere con la procedura di tassazione ordinaria e che, per di più, essendo anche competente per il rilascio delle licenze edilizie, non dà sufficienti garanzie di indipendenza. In ciò la ricorrente intravede la violazione degli art. 5, 9, 26, 27, 29, 36 e 30 cpv. 1 Cost. Sennonché ancora una volta le critiche sono del tutto immotivate (art. 42 cpv. 2 e 106 cpv. 2 LTF), limitandosi la ricorrente ad esporre la propria opinione senza spiegare in maniera esauriente in che consisterebbero le violazioni lamentate. Al riguardo, il ricorso si rivela inammissibile.</w:t>
      </w:r>
    </w:p>
    <w:p>
      <w:r>
        <w:rPr>
          <w:b/>
        </w:rPr>
        <w:t>E. 11.1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11.2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5.6), l'entrata in vigore dev'essere fissata ex nunc. Il Consiglio di Stato è quindi invitato a fissare una nuova data per l'entrata in vigore delle norme contestate.</w:t>
      </w:r>
    </w:p>
    <w:p>
      <w:r>
        <w:rPr>
          <w:b/>
        </w:rPr>
        <w:t>E. 12</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