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765/2017 vom 14. September 2017</w:t>
      </w:r>
    </w:p>
    <w:p>
      <w:r>
        <w:t>Bundesgericht, 2017-09-14, FR</w:t>
      </w:r>
    </w:p>
    <w:p>
      <w:r>
        <w:rPr>
          <w:b/>
        </w:rPr>
        <w:t xml:space="preserve">Quelle: </w:t>
      </w:r>
      <w:r>
        <w:t>https://mcp.opencaselaw.ch/entscheid/bger_2C_765_2017</w:t>
      </w:r>
    </w:p>
    <w:p>
      <w:r>
        <w:t>FR: TF 2C 765/2017 du 14 septembre 2017</w:t>
      </w:r>
    </w:p>
    <w:p>
      <w:r>
        <w:t>IT: TF 2C 765/2017 del 14 settembre 2017</w:t>
      </w:r>
    </w:p>
    <w:p>
      <w:pPr>
        <w:pStyle w:val="Heading2"/>
      </w:pPr>
      <w:r>
        <w:t>Regeste</w:t>
      </w:r>
    </w:p>
    <w:p>
      <w:r>
        <w:t>Refus d'octroi d'autorisation de séjour en renvoi de Suisse; cas de rigueur | Droit de cité et droit des étrangers</w:t>
      </w:r>
    </w:p>
    <w:p>
      <w:pPr>
        <w:pStyle w:val="Heading2"/>
      </w:pPr>
      <w:r>
        <w:t>Erwägungen</w:t>
      </w:r>
    </w:p>
    <w:p>
      <w:r>
        <w:rPr>
          <w:b/>
        </w:rPr>
        <w:t>E. 1</w:t>
      </w:r>
    </w:p>
    <w:p>
      <w:r>
        <w:t>Par arrêt du 27 juin 2017, la Cour de justice du canton de Genève a rejeté le recours déposé par X.________, ressortissant vénézuelien, contre le jugement du Tribunal administratif de première instance du 3 juin 2016 refusant, à l'instar de la décision du 2 octobre 2015 de l'Office cantonal de la population du canton de Genève, de lui délivrer une autorisation de séjour pour cas de rigueur et par conséquent de soumettre son dossier avec un préavis positif au Secrétariat d'Etat aux migrations.</w:t>
      </w:r>
    </w:p>
    <w:p>
      <w:r>
        <w:rPr>
          <w:b/>
        </w:rPr>
        <w:t>E. 2</w:t>
      </w:r>
    </w:p>
    <w:p>
      <w:r>
        <w:t>Par mémoire du 13 septembre 2017, X.________ demande au Tribunal fédéral, sous suite de frais et dépens, d'annuler l'arrêt rendu le 27 juin 2017 et de lui accorder une autorisation de séjour. Dans son mémoire, il insiste sur l'importance que revêt pour lui la vie de famille ainsi que sur la situation politique et économique du Vénézuela.</w:t>
      </w:r>
    </w:p>
    <w:p>
      <w:r>
        <w:rPr>
          <w:b/>
        </w:rPr>
        <w:t>E. 3</w:t>
      </w:r>
    </w:p>
    <w:p>
      <w:r>
        <w:t>Selon l' art. 83 let . c LTF, le recours en matière de droit public devant le Tribunal fédéral est irrecevable contre les décisions en matière de droit des étrangers qui concernent une autorisation à laquelle ni le droit fédéral ni le droit international ne donnent droit (ch. 2), celles qui concernent le renvoi (ch. 4) ainsi que celles qui concernent les dérogations aux conditions d'admission (ch. 5), parmi lesquelles figurent les cas de rigueur (art. 30 al. 1 let. b LEtr). En l'espèce, ni l'art. 30 al.1 let. b LEtr, qui est formulé de manière potestative ("il est possible" par opposition à "il est dérogé") ni l' art. 8 CEDH ne confèrent de droit de séjour au recourant. En effet, selon la jurisprudence, un étranger peut, selon les circonstances, se prévaloir 1 CEDH pour s'opposer à une éventuelle séparation de sa famille. L' 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137 I 154 consid. 3.4.2 p. 159; 129 II 11 consid. 2 p. 13 s.; 120 Ib 257 consid. 1d p. 260 s.), ce que le recourant ne démontre pas de manière défendable dans son mémoire de recours. Reste par conséquent seule ouverte la voie du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 recourant, qui n'a pas droit à une autorisation de séjour, ne peut se prévaloir en l'espèce (cf. ci-dessus consid. 3).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 puisqu'il n'invoque la violation d'aucun droit constitutionnel formel.</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