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764/2010 vom 28. Januar 2011</w:t>
      </w:r>
    </w:p>
    <w:p>
      <w:r>
        <w:t>Bundesgericht, 2011-01-28, DE</w:t>
      </w:r>
    </w:p>
    <w:p>
      <w:r>
        <w:rPr>
          <w:b/>
        </w:rPr>
        <w:t xml:space="preserve">Quelle: </w:t>
      </w:r>
      <w:r>
        <w:t>https://mcp.opencaselaw.ch/entscheid/bger_2C_764_2010</w:t>
      </w:r>
    </w:p>
    <w:p>
      <w:r>
        <w:t>FR: TF 2C 764/2010 du 28 janvier 2011</w:t>
      </w:r>
    </w:p>
    <w:p>
      <w:r>
        <w:t>IT: TF 2C 764/2010 del 28 gennaio 2011</w:t>
      </w:r>
    </w:p>
    <w:p>
      <w:pPr>
        <w:pStyle w:val="Heading2"/>
      </w:pPr>
      <w:r>
        <w:t>Regeste</w:t>
      </w:r>
    </w:p>
    <w:p>
      <w:r>
        <w:t>Androhung Patententzug | Grundrecht</w:t>
      </w:r>
    </w:p>
    <w:p>
      <w:pPr>
        <w:pStyle w:val="Heading2"/>
      </w:pPr>
      <w:r>
        <w:t>Erwägungen</w:t>
      </w:r>
    </w:p>
    <w:p>
      <w:r>
        <w:rPr>
          <w:b/>
        </w:rPr>
        <w:t>E. 1</w:t>
      </w:r>
    </w:p>
    <w:p>
      <w:r>
        <w:t>Der gestützt auf öffentliches Recht (Bundesgesetz vom 7. Oktober 1983 über den Umweltschutz [USG; SR 814.01]; Lärmschutz-Verordnung vom 15. Dezember 1986 [LSV; SR 814.41]; Urner Gastwirtschaftsgesetz vom 29. November 1998 [GWG/UR]; Bau- und Zonenordnung der Gemeinde Altdorf vom 24. Oktober 1991) ergangene Entscheid der letzten kantonalen Instanz kann grundsätzlich mit Beschwerde in öffentlich-rechtlichen Angelegenheiten angefochten werden.</w:t>
      </w:r>
    </w:p>
    <w:p>
      <w:r>
        <w:rPr>
          <w:b/>
        </w:rPr>
        <w:t>E. 2.1</w:t>
      </w:r>
    </w:p>
    <w:p>
      <w:r>
        <w:t>Die Vorinstanz hat im angefochtenen Entscheid festgestellt, es sei unbestritten, dass der nächtliche Lärmpegel in der A.________ nicht unerheblich sei; die örtlichen Verhältnisse seien gerichtsnotorisch; ungenügend abgeklärt sei jedoch u.a. - und dies trotz Einsetzung der interdisziplinär zusammengesetzten Arbeitsgruppe "Lärm" -, ob die Lärmimmissionen tatsächlich nur bzw. mehrheitlich dem Pub des Beschwerdeführers zuzurechnen seien. Unklar sei, ob die Immissionen in der A.________ nicht (mehrheitlich) durch die lediglich diese Gasse durchquerenden Personen verursacht und somit nicht bzw. nicht einzig dem Betrieb des Beschwerdeführers zugerechnet werden könnten; es sei gerichtsnotorisch, dass die A.________ von den Nachtschwärmern schlechthin als Verbindung zwischen Rathaus- und Lehnplatz benützt werde; zudem sei darzulegen, wie sich die Lärmsituation vor Eröffnung des "B.________" präsentiert habe und ob bzw. in welcher Weise gegen andere (benachbarte) Betreiber von Gaststätten vorgegangen worden sei. Die Sache sei deshalb zur Vornahme weiterer Abklärungen an die Volkswirtschaftsdirektion zurückzuweisen. Über den Antrag des Beschwerdeführers, den bei ihr angefochtenen Beschluss des Regierungsrates aufzuheben, hat die Vorinstanz nicht entschieden.</w:t>
      </w:r>
    </w:p>
    <w:p>
      <w:r>
        <w:rPr>
          <w:b/>
        </w:rPr>
        <w:t>E. 2.2</w:t>
      </w:r>
    </w:p>
    <w:p>
      <w:r>
        <w:t>Der angefochtene Entscheid ist ein Rückweisungsentscheid, der allerdings für den Beschwerdeführer offensichtlich einen nicht wieder gutzumachenden Nachteil ( Art. 93 Abs. 1 lit. a BGG ) bewirken kann, indem das Verbot der unteren kantonalen Instanzen, den Betrieb zwischen 03.00 Uhr und 06.00 Uhr offen zu halten und Gäste zu bewirten, nicht aufgehoben, sondern auf vier Monate nach Rechtskraft des angefochtenen Entscheides beschränkt wird. Das wäre für den Beschwerdeführer nicht nur mit finanziellen Einbussen verbunden - er generiert nach seinen eigenen Angaben in seinem von Anfang an auf das "frühmorgendliche Chillout" konzipierten Betrieb mindestens die Hälfte seines Umsatzes von 03.00 Uhr bis 06.00 Uhr -, sondern würde ihm auch die Ausübung seines Berufes verunmöglichen, da er unter diesen Umständen mangels genügender Rentabilität den Betrieb schliessen müsste (Beschwerde S. 15). Auf die Beschwerde ist daher einzutreten.</w:t>
      </w:r>
    </w:p>
    <w:p>
      <w:r>
        <w:rPr>
          <w:b/>
        </w:rPr>
        <w:t>E. 2.3</w:t>
      </w:r>
    </w:p>
    <w:p>
      <w:r>
        <w:t>Der Beschwerdeführer rügt u.a. eine Verletzung des Willkürverbotes ( Art. 9 BV ), des Rechtsgleichheitsgebotes ( Art. 8 BV ), der Wirtschaftsfreiheit ( Art. 27 BV ) sowie der Eigentumsgarantie ( Art. 26 BV ). Die in Frage stehende, gestützt auf Art. 8 GWG /UR getroffene Anordnung erweist sich von vornherein als fragwürdig, da die Ermittlung der vom Lokal des Beschwerdeführers ausgehenden Lärmimmissionen gar nicht erfolgen kann, wenn dieser das Lokal in der fraglichen Zeit - in welcher der Beschwerdeführer nach seinen Angaben die Hälfte seines Gesamtumsatzes erwirtschaftet - geschlossen halten müsste. Nachdem jedoch insbesondere nicht feststeht, ob die in Frage stehenden Lärmimmissionen überhaupt vom Betrieb des Beschwerdeführers ausgehen, fehlt es von vornherein an einer genügenden tatsächlichen und rechtlichen Grundlage, diesem im Interesse einer ungestörten Nachtruhe der Wohnbevölkerung eine Beschränkung der Öffnungszeiten aufzuerlegen, auch wenn diese zeitlich beschränkt erfolgt. Denn eine Verwarnung mit Auflagen gemäss Art. 8 Abs. 2 GWG /UR (angefochtenes Urteil E. 11) setzt die verbindliche Feststellung eines Verstosses gegen die im konkreten Fall anwendbaren Normen voraus. Daran gebricht es im vorliegenden Fall, womit sich die angefochtene Beschränkung der Öffnungszeiten nicht mit sachlichen Gründen rechtfertigen lässt und als willkürlich zu bezeichnen ist.</w:t>
      </w:r>
    </w:p>
    <w:p>
      <w:r>
        <w:rPr>
          <w:b/>
        </w:rPr>
        <w:t>E. 2.4</w:t>
      </w:r>
    </w:p>
    <w:p>
      <w:r>
        <w:t>Die Beschwerde ist daher gutzuheissen und Ziffer 2, 4 und 5 des angefochtenen Entscheides sind aufzuheben.</w:t>
      </w:r>
    </w:p>
    <w:p>
      <w:r>
        <w:rPr>
          <w:b/>
        </w:rPr>
        <w:t>E. 3</w:t>
      </w:r>
    </w:p>
    <w:p>
      <w:r>
        <w:t>Bei diesem Ausgang sind keine Gerichtskosten zu erheben ( Art. 66 Abs. 4 BGG ). Der Kanton Uri hat den Beschwerdeführer jedoch für das Verfahren vor Bundesgericht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