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762/2022 vom 23. September 2022</w:t>
      </w:r>
    </w:p>
    <w:p>
      <w:r>
        <w:t>Bundesgericht, 2022-09-23, DE</w:t>
      </w:r>
    </w:p>
    <w:p>
      <w:r>
        <w:rPr>
          <w:b/>
        </w:rPr>
        <w:t xml:space="preserve">Quelle: </w:t>
      </w:r>
      <w:r>
        <w:t>https://mcp.opencaselaw.ch/entscheid/bger_2C_762_2022</w:t>
      </w:r>
    </w:p>
    <w:p>
      <w:r>
        <w:t>FR: TF 2C 762/2022 du 23 septembre 2022</w:t>
      </w:r>
    </w:p>
    <w:p>
      <w:r>
        <w:t>IT: TF 2C 762/2022 del 23 settembre 2022</w:t>
      </w:r>
    </w:p>
    <w:p>
      <w:pPr>
        <w:pStyle w:val="Heading2"/>
      </w:pPr>
      <w:r>
        <w:t>Regeste</w:t>
      </w:r>
    </w:p>
    <w:p>
      <w:r>
        <w:t>Amtshilfe (DBA CH-AT)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Beschwerdeführerinnen bringen vor, der im Jahr 2013 verstorbene, wirtschaftlich Berechtigte an den Bankkonten habe zu keinem Zeitpunkt in Österreich gelebt. Er habe seinen Wohnsitz sowie gewöhnlichen Aufenthalt stets in Slowenien gehabt. Da er der Informationsinhaberin für seine Bankkorrespondenz die Adresse seiner angemieteten Wohnung in Österreich angegeben habe, sei er bis im Mai 2010 mit dem Domizilcode Österreich im bankinternen System geführt worden. Per Mai 2010 seien die Angaben bei der Informationsinhaberin angepasst worden. Anlässlich der Hausdurchsuchung bei der Informationsinhaberin sei aber bekanntlich eine Liste aus dem Jahr 2008 sichergestellt worden. Das vorliegende Amtshilfeersuchen basiere auf dieser Liste. Der wirtschaftlich Berechtigte sei nur deshalb auf dieser Liste, da die Korrektur seiner Angaben erst im Jahr 2010 erfolgt sei. Es liege nachweislich ein falscher Domizilcode vor. Es sei daher die Frage zu klären, ob ein offenkundig falscher Domizilcode als Anknüpfungspunkt für ein Amtshilfeverfahren dienen könne.</w:t>
      </w:r>
    </w:p>
    <w:p>
      <w:r>
        <w:rPr>
          <w:b/>
        </w:rPr>
        <w:t>E. 1.3</w:t>
      </w:r>
    </w:p>
    <w:p>
      <w:r>
        <w:t>Das Bundesgericht hat bereits mehrfach bestätigt, dass im Zusammenhang mit den Listen der Informationsinhaberin der Domizilcode einen hinreichenden Anknüpfungspunkt für eine potenzielle Steuerpflicht darstellt (vgl. BGE 146 II 150 E. 6.2.5 f.; Urteile 2C_674/2022 vom 1. September 2022 E. 1.3.1; 2C_622/2022 vom 29. Juli 2022 E. 1.2.1; 2C_552/2022 vom 14. Juli 2022 E. 1.3; 2C_56/2022 vom 27. Januar 2022 E. 1.3.2; 2C_55/2022 vom 27. Januar 2022 E. 1.3.2). Überdies gilt nach ständiger bundesgerichtlicher Rechtsprechung, dass die Bestimmung des Steuerwohnsitzes der betroffenen Person im internationalen Kontext eine materielle Frage darstellt, die von der ESTV nicht im Rahmen des Amtshilfeverfahrens zu klären ist, sondern in die Zuständigkeit der Behörden des ersuchenden Staats fällt (vgl. BGE 145 II 112 E. 2.2.2; 142 II 218 E. 3.6 f.; 142 II 161 E. 2.2.2). Die Konstellation, in der sich die beschwerdeführende Person auf eine (unbeschränkte) Steuerpflicht in einem anderen Land beruft, ist in der Rechtsprechung bereits behandelt worden (vgl. BGE 142 II 161 E. 2.2 ff.). Die Frage, ob ein - mangels Wohnsitz im ersuchenden Staat - falsch hinterlegter Domizilcode als Anknüpfungspunkt für ein Amtshilfeverfahren dienen könne, ist höchstrichterlich geklärt. Es liegt somit keine Rechtsfrage von grundsätzlicher Bedeutung im Sinne von Art. 84a BGG vor.</w:t>
      </w:r>
    </w:p>
    <w:p>
      <w:r>
        <w:rPr>
          <w:b/>
        </w:rPr>
        <w:t>E. 2</w:t>
      </w:r>
    </w:p>
    <w:p>
      <w:r>
        <w:t>Im Ergebnis ist auf die Beschwerde in öffentlich-rechtlichen Angelegenheiten nicht einzutreten. Bei diesem Verfahrensausgang werden die Beschwerdeführerinnen zu gleichen Teilen und unter solidarischer Haftung kostenpflichtig ( Art. 66 Abs. 1 und Abs. 5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