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2C_75/2020 vom 8. Juni 2020</w:t>
      </w:r>
    </w:p>
    <w:p>
      <w:r>
        <w:t>Bundesgericht, 2020-06-08, FR</w:t>
      </w:r>
    </w:p>
    <w:p>
      <w:r>
        <w:rPr>
          <w:b/>
        </w:rPr>
        <w:t xml:space="preserve">Quelle: </w:t>
      </w:r>
      <w:r>
        <w:t>https://mcp.opencaselaw.ch/entscheid/bger_2C_75_2020</w:t>
      </w:r>
    </w:p>
    <w:p>
      <w:r>
        <w:t>FR: TF 2C_75/2020 du 8 juin 2020</w:t>
      </w:r>
    </w:p>
    <w:p>
      <w:r>
        <w:t>IT: TF 2C_75/2020 del 8 giugno 2020</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w:t>
      </w:r>
    </w:p>
    <w:p>
      <w:r>
        <w:t>En l'espèce, il ressort manifestement de l'arrêt du Tribunal fédéral 2C_140/2019 du 2 mai 2019, cité dans l'arrêt attaqué, que le recourant peut se prévaloir de manière soutenable de l' art. 43 LEI ainsi que de l' art. 8 CEDH du moment que son épouse est titulaire d'une autorisation d'établissement. Le recours en matière de droit public est par conséquent recevable sous cet angle, quand bien même le recourant n'a pas exposé explicitement les conditions de recevabilité de la voie de droit qu'il a choisie.</w:t>
      </w:r>
    </w:p>
    <w:p>
      <w:r>
        <w:t>Les autres conditions de recevabilité du recours en matière de droit public sont également réunies (cf. art. 42, 82 let. a, 86 al. 1 let. d et al. 2, 89 al. 1, 90 et 100 al. 1 LTF), si bien qu'il convient d'entrer en matière.</w:t>
      </w:r>
    </w:p>
    <w:p>
      <w:r>
        <w:rPr>
          <w:b/>
        </w:rPr>
        <w:t>E. 2</w:t>
      </w:r>
    </w:p>
    <w:p>
      <w:r>
        <w:t>Du moment que l'arrêt rendu par le Tribunal fédéral le 2 mai 2019 a acquis force de chose jugée le même jour ( art. 61 LTF ) et s'est substitué à l'arrêt rendu le 19 décembre 2019 par le Tribunal cantonal du canton de Vaud (cf. ATF 144 I 208 consid. 3.1 p. 211; arrêt 2C_810/2009 du 26 mai 2010 consid. 3.1.2) qui a lui-même remplacé la décision du 23 avril 2018 en raison de l'effet dévolutif du recours de droit administratif cantonal, une demande de réexamen de la décision du 23 avril 2018 n'est en l'espèce plus possible. Dans ces circonstances, seule peut faire l'objet d'un recours une nouvelle autorisation de police des étrangers en l'occurrence refusée par décision de l'autorité intimée du 9 juillet 2019 qui a non seulement déclaré la demande de réexamen irrecevable mais l'a également rejetée. En prononçant dans le dispositif de l'arrêt attaqué le rejet du recours déposé par les recourants devant elle, l'instance précédente a confirmé ces deux aspect de la décision du 9 juillet 2019.</w:t>
      </w:r>
    </w:p>
    <w:p>
      <w:r>
        <w:rPr>
          <w:b/>
        </w:rPr>
        <w:t>E. 3</w:t>
      </w:r>
    </w:p>
    <w:p>
      <w:r>
        <w:t>Les recourants invoquent les art. 96 al. 1 LEI (RS 142.20) ainsi que 5 al. 2, 9 et 29 Cst. Ils soutiennent que le Tribunal cantonal a violé le principe de proportionnalité et l'interdiction du formalisme excessif en affirmant que la demande de reconsidération était irrecevable au motif que le recourant ne s'était pas conformé à l'ordre à lui imparti de quitter la Suisse avant de demander un réexamen de son droit de séjour en Suisse. Ils soutiennent également que l'instance précédente a appliqué de manière arbitraire l' art. 64 LPA /VD en confirmant l'irrecevabilité de la demande de réexamen.</w:t>
      </w:r>
    </w:p>
    <w:p>
      <w:r>
        <w:t>Il n'est pas nécessaire d'examiner ces griefs, parce qu'ils sont exclusivement dirigés contre le prononcé d'irrecevabilité. En effet, ce dernier doit de toute manière être confirmé en raison des effets dévolutifs successifs ayant conduit à ce que l'arrêt du Tribunal fédéral 2C_140/2019 du 2 mai 2019 se substitue aux décisions cantonales antérieures, qui ne peuvent par conséquent plus faire l'objet d'une demande de réexamen au sens propre du terme (cf. ATF 144 I 208 consid. 3.1 p. 211; arrêts 2C_810/2009 du 26 mai 2010 consid. 3.1.2; 2C_1120/2018 du 17 décembre 2018). Seule peut faire l'objet du recours le refus d'octroyer une nouvelle autorisation de police des étrangers.</w:t>
      </w:r>
    </w:p>
    <w:p>
      <w:r>
        <w:rPr>
          <w:b/>
        </w:rPr>
        <w:t>E. 4</w:t>
      </w:r>
    </w:p>
    <w:p>
      <w:r>
        <w:t>En rejetant le recours déposé devant elle par les recourants, l'instance précédente a également, bien qu'elle ait jugé que la décision du 9 juillet 2019 constituait une décision d'irrecevabilité pure (arrêt attaqué consid. 4a), confirmé le refus de renouveler l'autorisation de séjour du recourant prononcé par décision du 9 juillet 2019. La motivation de ce refus résulte</w:t>
      </w:r>
    </w:p>
    <w:p>
      <w:r>
        <w:t>mutatis mutandis des considérants 4b et 4c de l'arrêt attaqué quand bien même dite motivation tendait, selon l'instance précédente, à confirmer l'irrecevabilité de la demande de réexamen. De même, bien qu'elle soit présentée aux fins de démontrer l'arbitraire dans l'application de l' art. 64 LPA /VD, la motivation que les recourants ont formulée dans ce premier but peut être requalifiée et considérée comme une motivation dirigée contre le refus de renouveler l'autorisation de séjour. Il convient par conséquent d'en examiner le bien-fondé. Cette approche permet d'éviter un déni de justice résultant d'une lecture formaliste des actes de la procédure en cause.</w:t>
      </w:r>
    </w:p>
    <w:p>
      <w:r>
        <w:rPr>
          <w:b/>
        </w:rPr>
        <w:t>E. 5.1</w:t>
      </w:r>
    </w:p>
    <w:p>
      <w:r>
        <w:t>En vertu de l' art. 51 al. 2 let. b LEI , les droits prévus à l' art. 43 LEI s'éteignent s'il existe des motifs de révocation notamment au sens de l' art. 62 al. 1 LEI .</w:t>
      </w:r>
    </w:p>
    <w:p>
      <w:r>
        <w:rPr>
          <w:b/>
        </w:rPr>
        <w:t>E. 5.2</w:t>
      </w:r>
    </w:p>
    <w:p>
      <w:r>
        <w:t>En l'espèce, les droits de l' art. 43 LEI se sont éteints pour le recourant. Le Tribunal cantonal a en effet dûment rappelé que le recourant a été condamné à une peine privative de liberté de longue durée au sens de l' art. 62 al. 1 let. b LEI et précisé à juste titre que la nature des infractions perpétrées, la quotité de la peine prononcée, la durée et la multiplicité des agissements incriminés fondaient indéniablement un intérêt public important à refuser la prolongation de l'autorisation de séjour sollicitée. Le recourant n'avait pas fait montre d'un comportement exemplaire depuis son arrestation et il était encore trop tôt pour se convaincre d'une prise de conscience sincère, puisque le délai d'épreuve, qui portait sur un solde de vingt-sept mois de détention, continuait à courir jusqu'en décembre 2019. Du point de vue de l'intérêt privé, il ne pouvait se targuer d'une intégration réussie nonobstant la durée de son séjour en Suisse, dès lors qu'il n'avait jamais su conserver un emploi stable lui permettant de subvenir à son entretien et à celui de sa famille, mais avait dû au contraire faire appel à l'aide sociale entre 2011 et 2014 pour plus de 103'000 fr. et s'était fortement endetté. S'agissant enfin de la situation familiale, les recourants avaient connu de nombreuses dissensions et séparations, si bien que l'intérêt privé de l'époux à rester en Suisse résidait principalement dans la relation qu'il entretenait avec ses deux enfants. Or, ce dernier avait quitté le foyer quelques mois seulement après leur naissance respective, n'avait pas le droit de garde, n'avait jamais contribué financièrement à leur entretien et, surtout, son statut de père ne l'avait nullement dissuadé de commettre de graves délits. Enfin les relations personnelles pouvaient être aménagées depuis le Kosovo, où un renvoi était exigible sans difficultés particulières. Cette appréciation a été intégralement confirmée par le Tribunal fédéral dans son arrêt du 2 mai 2019. Il n'y pas lieu d'y revenir sinon pour en prendre acte.</w:t>
      </w:r>
    </w:p>
    <w:p>
      <w:r>
        <w:rPr>
          <w:b/>
        </w:rPr>
        <w:t>E. 5.3</w:t>
      </w:r>
    </w:p>
    <w:p>
      <w:r>
        <w:t>Pour le surplus, force est de constater qu'entre l'arrêt du Tribunal fédéral du 2 mai 2019 et la demande de réexamen déposée le 3 juillet 2019 auprès du Service de la population, seuls deux mois se sont écoulés. Or, comme l'a justement relevé l'autorité précédente, la mise en balance des intérêts privés du recourant avec l'intérêt public à lui refuser une autorisation a déjà fait l'objet d'un examen complet par le Tribunal fédéral. L'arrivée du troisième enfant en début 2020 ne modifie pas cette récente pesée des intérêts détaillée, les recourants ayant déjà deux enfants au moment où il a été jugé que l'intérêt public à l'éloignement du recourant l'emportait sur son intérêt privé à séjourner en Suisse. Les recourants connaissaient du reste leur situation précaire sous l'angle du droit des étrangers, lorsqu'ils ont conçu leur troisième enfant. Il convient par conséquent de rejeter le recours et de confirmer l'arrêt attaqué par substitution de motifs.</w:t>
      </w:r>
    </w:p>
    <w:p>
      <w:r>
        <w:rPr>
          <w:b/>
        </w:rPr>
        <w:t>E. 6</w:t>
      </w:r>
    </w:p>
    <w:p>
      <w:r>
        <w:t>Les considérants qui précèdent conduisent au rejet du recours en matière de droit public.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