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2C_75/2014 vom 28. Januar 2015</w:t>
      </w:r>
    </w:p>
    <w:p>
      <w:r>
        <w:t>Bundesgericht, 2015-01-28, DE</w:t>
      </w:r>
    </w:p>
    <w:p>
      <w:r>
        <w:rPr>
          <w:b/>
        </w:rPr>
        <w:t xml:space="preserve">Quelle: </w:t>
      </w:r>
      <w:r>
        <w:t>https://mcp.opencaselaw.ch/entscheid/bger_2C_75_2014</w:t>
      </w:r>
    </w:p>
    <w:p>
      <w:r>
        <w:t>FR: TF 2C_75/2014 du 28 janvier 2015</w:t>
      </w:r>
    </w:p>
    <w:p>
      <w:r>
        <w:t>IT: TF 2C_75/2014 del 28 gennaio 2015</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w:t>
      </w:r>
    </w:p>
    <w:p>
      <w:r>
        <w:t>Nach bundesgerichtlicher Rechtsprechung steht dem WBF, dem Beschwerdeführer, gestützt auf Art. 89 Abs. 2 lit. a BGG das Beschwerderecht zu ( BGE 127 II 32 E. 1b S. 35 f.; a.A. - rein teleologisch argumentierend - z.B. Peter Hänni/Andreas Stöckli, Schweizerisches Wirtschaftsverwaltungsrecht, 2013, Rz. 478 m.w.H.).</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Die WEKO hat in ihrer Sanktionsverfügung festgehalten, dass die Beschwerdegegnerin unzulässige Wettbewerbsabreden getroffen habe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Vorinstanz ist demgegenüber davon ausgegangen, dass Vorschriften vorliegen würden, welche nach Art. 3 Abs. 1 KG dem KG vorgehen würden. Der Beschwerdeführer vertritt wiederum die Position der WEKO. Die Beschwerdegegnerin stimmt dagegen mit der vorinstanzlichen Auffassung überein.</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w:t>
      </w:r>
    </w:p>
    <w:p>
      <w:r>
        <w:t>so weit als die staatlichen Vorschriften auf einem Markt für bestimmte Waren oder Leistungen Wettbewerb nicht zulassen (vgl. BGE 129 II 497 E. 3.3.1 S. 514; Botschaft vom 23. November 1994 zu einem Bundesgesetz über Kartelle und andere Wettbewerbsbeschränkungen [Kartellgesetz, KG], BBl 1995 I 468, 537 f. [nachfolgend: Botschaft KG]; Roger Zäch, Schweizerisches Kartellrecht, 2. Aufl. 2005, N. 279 f.; Patrik Ducrey, in: von Büren/Marbach/Ducrey, Immaterialgüter- und Wettbewerbsrecht, 3. Aufl., 2008, S. 282 f.; Rolf H. Weber/Stephanie Volz, Fachhandbuch Wettbewerbsrecht, 2013, S. 28 f.; Markus Schott, Staat und Wettbewerb, 2010, S. 519; German Grüniger, Nachfragemacht des Staats im Kartellrecht, 2003, S. 189 Rz. 511; Rudolf Rentsch, Deregulierung durch Wettbewerbsrecht, 2000, S. 166 ff.; Lucas David/Reto Jacobs, Schweizerisches Wettbewerbsrecht, 2012, Rz. 581; Jürg Borer, Kommentar KG, in: Wettbewerbsrecht I, 3. Aufl. 2011, N. 2 i.f., 5 ad Art. 3; Vincent Martenet/Benoît Carron, in: Martenet/Bovet/Tercier [Hrsg.], Droit de la concurrence, 2. Aufl. 2013, N. 29 ff., insbes. 32 ad Art. 3 Abs. 1 LCart; Reto Jacobs, Gesundheitswesen und Kartellgesetz, in: Poledna/ Jacobs [Hrsg.], Gesundheitsrecht im wettbewerblichen Umfeld, 2010, S. 1 ff., 5 N. 8; Peter Münch, in: Amstutz/Reinert [Hrsg.], Basler Kommentar zum Kartellgesetz [BSK KG], 2010, N. 6 ff. ad Art. 3 Abs. 1). Insofern ist nicht nur zu prüfen, ob staatliche Marktregulierungen den Wettbewerb in einem bestimmten Bereich ausschliessen, sondern vor allem auch,</w:t>
      </w:r>
    </w:p>
    <w:p>
      <w:r>
        <w:t>wieweit sie dies tun (vgl. Münch, a.a.O., N. 6 ad Art. 3 Abs. 1).</w:t>
      </w:r>
    </w:p>
    <w:p>
      <w:r>
        <w:rPr>
          <w:b/>
        </w:rPr>
        <w:t>E. 2.2.2</w:t>
      </w:r>
    </w:p>
    <w:p>
      <w:r>
        <w:t>Für die Beurteilung der Reichweite sind nur solche staatliche Regulierungen zu berücksichtigen, welche darauf abzielen, ein</w:t>
      </w:r>
    </w:p>
    <w:p>
      <w:r>
        <w:t>Marktversagen oder</w:t>
      </w:r>
    </w:p>
    <w:p>
      <w:r>
        <w:t>sozial unerwünschte Verteilungen mit Hilfe eines staatlich verordneten Ausschlusses des Wettbewerbs ("Marktersatz durch Normen": Walter A. Stoffel, Wettbewerbsrecht und staatliche Wirtschaftstätigkeit, 1994, S. 273; Rentsch, a.a.O., S. 179 f. FN 784) zu korrigieren (vgl. Weber/Volz, a.a.O., Rz. 1.80; Münch, a.a.O., N. 7 i.f. ad Art. 3 Abs. 1; Borer, a.a.O., N. 4 ad Art. 3; Rentsch, a.a.O., S. 164, 179 i.f.; Oliver Schaller/Christoph Tagmann, Kartellrecht und öffentliches Recht - neuere Praxis im Bereich des Gesundheitswesens, AJP 2004, 704 ff., 707 lk. Sp.; Martenet/Carron, a.a.O., N. 8 f. ad Art. 3 Abs. 1 LCart; siehe auch Botschaft KG, BBl 1995 I 539). Der Begriff des Marktversagens findet sich nicht in Art. 3 Abs. 1 KG ; die Botschaft führt für die Begründung des Vorbehalts nach Art. 3 Abs. 1 Ingress KG dazu aus: "Die [staatlichen] Eingriffe erfolgen [...] in Bereichen, in denen der Markt als Regelsystem der Wirtschaftsbeziehungen seine Funktionen nicht oder nicht hinlänglich zu erfüllen vermag" (Botschaft KG, BBl 1995 I 537).</w:t>
      </w:r>
    </w:p>
    <w:p>
      <w:r>
        <w:t>Marktversagen besteht demnach dann, wenn</w:t>
      </w:r>
    </w:p>
    <w:p>
      <w:r>
        <w:t>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René Rhinow/Gerhard Schmid/Giovanni Biaggini/Felix Uhlmann, Öffentliches Wirtschaftsrecht, 2. Aufl. 2011, § 2 Rz. 5, § 4 Rz. 84 und § 27 Rz. 2; siehe auch Bruno Schmidhauser, in: Kommentar zum schweizerischen Kartellrecht, 1996 [1. Lieferung] und 1997 [2. Lieferung], N. 13 ad Art. 3).</w:t>
      </w:r>
    </w:p>
    <w:p>
      <w:r>
        <w:t>Sozial unerwünschte Verteilungen sind dann gegeben, wenn "das Marktsystem nicht in der Lage ist, höherstehenden Interessen [...] Rechnung zu tragen" (Botschaft KG, BBl 1995 I 538; siehe auch Weber/Volz, a.a.O., Rz. 1.80). Auch hier erfolgen staatliche Eingriffe. Wann ein Marktversagen bzw. sozial unerwünschte Verteilungen vorliegen, bestimmt der</w:t>
      </w:r>
    </w:p>
    <w:p>
      <w:r>
        <w:t>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(Art. 94 Abs. 4 und 96 Abs. 1 BV) auch aus dem Zweck und der verfassungskonformen Auslegung von Art. 3 Abs. 1 KG (vgl. zum Ganzen BGE 129 II 497 E. 3.3.3 S. 516; Botschaft KG, BBl 1995 I 536; Borer, a.a.O., N. 5 ad Art. 3; Martenet/Carron, a.a.O., N. 39 ad Art. 3 Abs. 1 LCart; Jacobs, a.a.O., Rz. 8; Grüniger, a.a.O., Rz. 517; Weber/Volz, a.a.O., Rz. 1.84). Ein Ausschluss ist deshalb nur gestützt auf eine klare gesetzliche Grundlage möglich, die ein wettbewerbsbehinderndes Verhalten verordnet oder zulässt (vgl. z.B. BGE 129 II 497 E. 3.3.3 S. 516; Rentsch, a.a.O., S. 176 f., 209; Münch, a.a.O., N. 4 ad Art. 3 Abs. 1; so klar bereits Botschaft KG, BBl 1995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ad Art. 3 Abs. 1; Borer, a.a.O., N. 4 ad Art. 3; Martenet/Carron, a.a.O., N. 17 ad Art. 3 Abs. 1 LCart).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ad Art. 3 Abs. 1).</w:t>
      </w:r>
    </w:p>
    <w:p>
      <w:r>
        <w:t>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1995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ad Art. 3).</w:t>
      </w:r>
    </w:p>
    <w:p>
      <w:r>
        <w:rPr>
          <w:b/>
        </w:rPr>
        <w:t>E. 2.3.1</w:t>
      </w:r>
    </w:p>
    <w:p>
      <w:r>
        <w:t>Der Kartellgesetzgeber hat bereits auf Gesetzesebene die vorbehaltenen Vorschriften mit zwei Beispielen konkretisiert:</w:t>
      </w:r>
    </w:p>
    <w:p>
      <w:r>
        <w:t>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ad Art. 3 Abs. 1; Romina Carcagni/Michael Treis/Angela Durrer/Petra Hanselmann, in: Baker &amp; McKenzie, Kartellgesetz, Handkommentar, 2007, N. 4 ad Art. 3; Martenet/Carron, a.a.O., N. 36 ff. ad Art. 3 Abs. 1 LCart); staatliche Markt- und Preisordnungen schliessen den Wettbewerb in einem bestimmten Wirtschaftsbereich praktisch vollständig aus (vgl. BGE 129 II 497 E. 3.3.1 S. 514; Schmidhauser, a.a.O., N. 8 ad Art. 3);</w:t>
      </w:r>
    </w:p>
    <w:p>
      <w:r>
        <w:t>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ad. Art. 3 Abs. 1 LCart). Besondere Rechte sind insbesondere staatliche Monopole und Regale (vgl. BGE 129 II 497 E. 3.3.1 S. 515).</w:t>
      </w:r>
    </w:p>
    <w:p>
      <w:r>
        <w:rPr>
          <w:b/>
        </w:rPr>
        <w:t>E. 2.3.2</w:t>
      </w:r>
    </w:p>
    <w:p>
      <w:r>
        <w:t>Die herrschende Lehre geht davon aus, dass nur die beiden Ausnahmen der lit. a und b gegeben seien (vgl. etwa Münch, a.a.O., N. 13 ad Art. 3 Abs. 1; Schott, a.a.O., Rz. 846 i.f.; Rentsch, a.a.O., S. 216; Schmidhauser, a.a.O., N. 12 ad Art. 3).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w:t>
      </w:r>
    </w:p>
    <w:p>
      <w:r>
        <w:t>unter gleichen Gesichtspunkten unterschiedlich beurteilen ; es liegt eine klassische Normkollision vor; zum anderen Normen, welche einen Sachverhalt</w:t>
      </w:r>
    </w:p>
    <w:p>
      <w:r>
        <w:t>nach unterschiedlichen Gesichtspunkten regeln, d.h. Rechtsfolgen an unterschiedliche Tatbestandsmerkmale anknüpfen oder unterschiedliche Ziele verfolgen; es liegt eine positive oder kumulative Normenkonkurrenz bzw. Normenkumulation vor (vgl. zum Ganzen Klaus F. Röhl/Hans Christian Röhl, Allgemeine Rechtslehre, 3. Aufl. 2008, S. 596 ff.; Jan C. Joerden, Logik im Recht, 2005, S. 123 ff.; Rolf Wank, Die Auslegung von Gesetzen, 4. Aufl. 2008, S. 96 ff. bzw. 100 f.; Ernst A. Kramer, Juristische Methodenlehre, 4. Aufl. 2013, S. 112; Karl Larenz/Claus-Wilhelm Canaris, Methodenlehre der Rechtswissenschaft, 3. Aufl. 1995, S. 87 ff., 91 und 155; Hansjörg Seiler, in: Kommentar USG, N. 12 ff. ad Art. 3; zur Normkollision Hans Kelsen, Allgemeine Theorie der Normen, 1990, S. 99 ff.; Dirk Heckmann, Geltungskraft und Geltungsverlust von Rechtsnormen, 1997, S. 142 f.). Art. 3 Abs. 1 KG behält nur Normen vor, welche den gleichen Sachverhalt</w:t>
      </w:r>
    </w:p>
    <w:p>
      <w:r>
        <w:t>unter gleichen Gesichtspunkten unterschiedlich beurteilen (auf einem Markt für bestimmte Waren oder Leistungen sind Wettbewerb bzw. Modifikationen des Wettbewerbs [bis zum Ausschluss] vorgesehen), wenn also eine 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w:t>
      </w:r>
    </w:p>
    <w:p>
      <w:r>
        <w:t>Normen, welche demgegenüber einen Sachverhalt</w:t>
      </w:r>
    </w:p>
    <w:p>
      <w:r>
        <w:t>nach unterschiedlichen Gesichtspunkten regeln, gelangen nebeneinander zur Anwendung und schliessen sich nicht gegenseitig aus (vgl. BGE 137 II 199 E. 3.4 S. 207; Urteil 2A.142/2003 vom 5. September 2003 E. 4.1.3 i.f.; Martenet/Carron, a.a.O., N. 22 ad Art. 3 Abs. 1 LCart; siehe auch Rentsch, a.a.O., S. 201). Sie haben demzufolge nicht eine preis- und wettbewerbsrechtliche Ordnung zum Regelungsgegenstand, sondern eine andere Ordnung (als Beispiel: BGE 137 II 199 : Fernmelderecht neben Kartellrecht). Die Normen, welche zum KG hinzutreten,</w:t>
      </w:r>
    </w:p>
    <w:p>
      <w:r>
        <w:t>müssen deshalb nicht vorbehalten werden, da sie</w:t>
      </w:r>
    </w:p>
    <w:p>
      <w:r>
        <w:t>ohnehin unabhängig vom KG Anwendung finden.</w:t>
      </w:r>
    </w:p>
    <w:p>
      <w:r>
        <w:t>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w:t>
      </w:r>
    </w:p>
    <w:p>
      <w:r>
        <w:t>Auch wenn parallel anwendbare Normen nicht vorbehalten sind, ist es theoretisch nicht ausgeschlossen, dass diese "wettbewerbshindernd" sein können. Allerdings bilden die parallel anwendbaren Normen in der Regel</w:t>
      </w:r>
    </w:p>
    <w:p>
      <w:r>
        <w:t>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 petit ad Art. 3).</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w:t>
      </w:r>
    </w:p>
    <w:p>
      <w:r>
        <w:t>Mit dem</w:t>
      </w:r>
    </w:p>
    <w:p>
      <w:r>
        <w:t>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 Argument). Das Verbot hängt insofern mit der Verschreibung von Arzneimitteln zusammen; Patienten sollen nicht durch Werbung beeinflusst werden, um den Verschreibenden wiederum zu beeinflussen. Im systematischen Element bestätigen sich die bisherigen Ausführungen. Aus der verfassungskonformen Auslegung ergeben sich sodann keine neuen Erkenntnisse.</w:t>
      </w:r>
    </w:p>
    <w:p>
      <w:r>
        <w:rPr>
          <w:b/>
        </w:rPr>
        <w:t>E. 3.1</w:t>
      </w:r>
    </w:p>
    <w:p>
      <w:r>
        <w:t>Als vorbehaltene Vorschriften nennt die Vorinstanz Vorschriften des Bundesgesetzes über Arzneimittel und Medizinprodukte (Heilmittelgesetz, HMG; SR 812.21) und der Arzneimittel-Werbeverordnung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w:t>
      </w:r>
    </w:p>
    <w:p>
      <w:r>
        <w:t>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w:t>
      </w:r>
    </w:p>
    <w:p>
      <w:r>
        <w:t>2 Unzulässig ist Publikumswerbung für Arzneimittel, die:</w:t>
      </w:r>
    </w:p>
    <w:p>
      <w:r>
        <w:t>a. nur auf ärztliche Verschreibung abgegeben werden dürfen;</w:t>
      </w:r>
    </w:p>
    <w:p>
      <w:r>
        <w:t>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w:t>
      </w:r>
    </w:p>
    <w:p>
      <w:r>
        <w:t>schlichtweg nicht</w:t>
      </w:r>
    </w:p>
    <w:p>
      <w:r>
        <w:t>vereinbar , weshalb keinesfalls von vorbehaltenen Normen gesprochen werden könne.</w:t>
      </w:r>
    </w:p>
    <w:p>
      <w:r>
        <w:rPr>
          <w:b/>
        </w:rPr>
        <w:t>E. 3.3.2</w:t>
      </w:r>
    </w:p>
    <w:p>
      <w:r>
        <w:t>Nach dem</w:t>
      </w:r>
    </w:p>
    <w:p>
      <w:r>
        <w:t>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w:t>
      </w:r>
    </w:p>
    <w:p>
      <w:r>
        <w:t>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würden (vgl. Botschaft zu einem Bundesgesetz über Arzneimittel und Medizinprodukte [Heilmittelgesetz, HMG] vom 1. März 1999 [nachfolgend: Botschaft HMG], BBl 1999 III 3453, 3518; siehe auch Ursula Eggenberger Stöckli, Arzneimittel-Werbeverordnung, Handkommentar, 2006, N. 5 ad Art. 14; Urteil 2A.20/2007 vom 9. Mai 2007 E. 4). Insofern handelt es sich dabei klarerweise</w:t>
      </w:r>
    </w:p>
    <w:p>
      <w:r>
        <w:t>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Eggenberger Stöckli, a.a.O., N. 5 ad Art. 14).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w:t>
      </w:r>
    </w:p>
    <w:p>
      <w:r>
        <w:t>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w:t>
      </w:r>
    </w:p>
    <w:p>
      <w:r>
        <w:t>Aus</w:t>
      </w:r>
    </w:p>
    <w:p>
      <w:r>
        <w:t>teleologischer Sicht werden die bisherigen Erkenntnisse bestätigt: Art. 32 HMG konkretisiert die Vorgaben des Zweckartikels ( Art. 1 HMG ; vgl. Urs Jaisli, in: Eichenberger/Jaisli/Richli [Hrsg.], Basler Kommentar Heilmittelgesetz, 2006 [BSK HMG], N. 1 ad Art. 32; siehe auch Eggenberger Stöckli, a.a.O., N. 5 ad Art. 1; dieselbe, Werbung für Heilmittel, in: Poledna, Gesundheit und Werbung,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Urs Jaisli, BSK HMG, a.a.O., N. 17 ad Art. 31; Eggenberger Stöckli, a.a.O., N. 44 ad Art. 2; siehe auch bereits zum alten, kantonalen Recht BGE 123 I 201 E. 4 S. 205 f.). Dementsprechend hat das HMG auch folgerichtig darauf verzichtet, Regelungen gegen überhöhte Preise und der so genannten Preisbindung zweiter Hand (= d.h. die Einhaltung des gleichen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Urs Jaisli, BSK HMG, a.a.O., N. 2 ad Vor Art. 31-33; siehe auch Botschaft HMG, BBl 1999 III 3457).</w:t>
      </w:r>
    </w:p>
    <w:p>
      <w:r>
        <w:rPr>
          <w:b/>
        </w:rPr>
        <w:t>E. 3.3.5</w:t>
      </w:r>
    </w:p>
    <w:p>
      <w:r>
        <w:t>Art. 32 HMG , welcher die unzulässige Werbung regelt, stellt die Ausnahmeregelung dar; der Grundsatz der Werbung findet sich in Art. 31 HMG :</w:t>
      </w:r>
    </w:p>
    <w:p>
      <w:r>
        <w:t>1 Grundsätzlich zulässig ist:</w:t>
      </w:r>
    </w:p>
    <w:p>
      <w:r>
        <w:t>a. Werbung für alle Arten von Arzneimitteln, sofern sie sich ausschliesslich an Personen richtet, die diese Arzneimittel verschreiben oder abgeben;</w:t>
      </w:r>
    </w:p>
    <w:p>
      <w:r>
        <w:t>b. Publikumswerbung für nicht verschreibungspflichtige Arzneimittel.</w:t>
      </w:r>
    </w:p>
    <w:p>
      <w:r>
        <w:t>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w:t>
      </w:r>
    </w:p>
    <w:p>
      <w:r>
        <w:t>nach anderen ,</w:t>
      </w:r>
    </w:p>
    <w:p>
      <w:r>
        <w:t>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eines wirksamen Intrabrand Preiswettbewerbs unter Apotheken und selbstdispensierenden Ärzten wäre. Sinnvoller Intrabrand 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ad Art. 14).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Preis-Leistungs-Verhältnis aufweist als die Angebote der Konkurrenten (vgl. Schmidt, a.a.O., S. 1 f.; Zäch, a.a.O., N. 10; Weber/Volz, a.a.O., Rz. 1.1 ff.).</w:t>
      </w:r>
    </w:p>
    <w:p>
      <w:r>
        <w:t>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w:t>
      </w:r>
    </w:p>
    <w:p>
      <w:r>
        <w:t>Mit dem Verbot der Publikumswerbung fehlt zwar der Angebotsseite eines ihrer wirksamsten Instrumente, um ihre Angebote bekannt zu machen, und die Nachfrageseite hat demzufolge geringeres Wissen (nur bezüglich Preis) über die Angebote. Damit geht indes - wie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ad Art. 1).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ad Art. 2).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w:t>
      </w:r>
    </w:p>
    <w:p>
      <w:r>
        <w:t>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w:t>
      </w:r>
    </w:p>
    <w:p>
      <w:r>
        <w:t>Absatz 2 hält deshalb die Zulässigkeit von Preisvergleichen bei verschreibungspflichtigen Arzneimitteln auch für den Fall fest, dass diese Art Werbung sich ans Publikum richtet (Botschaft HMG, BBl 1999 III 3517). Da in diesem Fall allerdings die Gefahr besteht, dass unter dem Deckmantel von Preisvergleichen für verschreibungspflichtige Arzneimittel Werbung gemacht und das Publikum dadurch getäuscht werde, hat der Gesetzgeber den Bundesrat beauftragt, die Voraussetzungen zu regeln (vgl. Jaisli, a.a.O., N. 41 ad Art. 31; Botschaft HMG, BBl 1999 III 3517). Art. 31 Abs. 2 HMG bildet insofern keine wettbewerbsrechtliche Regel, sondern bezweckt Konsumentenschutz (vgl. Jaisli, a.a.O., N. 41 ad Art. 31).</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w:t>
      </w:r>
    </w:p>
    <w:p>
      <w:r>
        <w:rPr>
          <w:b/>
        </w:rPr>
        <w:t>E. 5</w:t>
      </w:r>
    </w:p>
    <w:p>
      <w:r>
        <w:t>Die Beschwerdegegnerin vertritt im Wesentlichen die Auffassung der Vorinstanz. Dabei verkennt sie zum einen, dass es sich bei den vorbehaltenen Normen nicht um einen Einzelfallentscheid handelt, ob Wettbewerb faktisch besteht (siehe oben E. 2.2.7 und 4.2.2). Bezeichnend ist diesbezüglich auch, dass sie - wie im Übrigen auch die Vorinstanz - für ihre Argumentation vielfach auf die Argumentationen der WEKO für die Frage der Wettbewerbsabreden, also auf Kriterien des konkreten Falls zurückgreift. Insofern ist auch die Unterstützung der vorinstanzlichen Auffassung in Bezug auf den Schamfaktor verfehlt. Zum anderen verkennt sie auch den Unterschied zwischen Normkollision und positiver Normenkonkurrenz bzw. Normenkumulation.</w:t>
      </w:r>
    </w:p>
    <w:p>
      <w:r>
        <w:rPr>
          <w:b/>
        </w:rPr>
        <w:t>E. 6</w:t>
      </w:r>
    </w:p>
    <w:p>
      <w:r>
        <w:t>Nach dem Gesagten ist die Beschwerde gutzuheissen, der Entscheid des Bundesverwaltungsgerichts vom 3. Dezember 2013 aufzuheben und die Sache zu neuem Entscheid an die Vorinstanz zurückzuweisen. Die Beschwerdegegnerin trägt die bundesgerichtlichen Gerichtskosten ( Art. 65,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