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759/2013 vom 2. September 2013</w:t>
      </w:r>
    </w:p>
    <w:p>
      <w:r>
        <w:t>Bundesgericht, 2013-09-02, FR</w:t>
      </w:r>
    </w:p>
    <w:p>
      <w:r>
        <w:rPr>
          <w:b/>
        </w:rPr>
        <w:t xml:space="preserve">Quelle: </w:t>
      </w:r>
      <w:r>
        <w:t>https://mcp.opencaselaw.ch/entscheid/bger_2C_759_2013</w:t>
      </w:r>
    </w:p>
    <w:p>
      <w:r>
        <w:t>FR: TF 2C 759/2013 du 2 septembre 2013</w:t>
      </w:r>
    </w:p>
    <w:p>
      <w:r>
        <w:t>IT: TF 2C 759/2013 del 2 settembre 2013</w:t>
      </w:r>
    </w:p>
    <w:p>
      <w:pPr>
        <w:pStyle w:val="Heading2"/>
      </w:pPr>
      <w:r>
        <w:t>Regeste</w:t>
      </w:r>
    </w:p>
    <w:p>
      <w:r>
        <w:t>Autorisation de séjour; paiement tardif de l'avance de frais | Droit de cité et droit des étrangers</w:t>
      </w:r>
    </w:p>
    <w:p>
      <w:pPr>
        <w:pStyle w:val="Heading2"/>
      </w:pPr>
      <w:r>
        <w:t>Erwägungen</w:t>
      </w:r>
    </w:p>
    <w:p>
      <w:r>
        <w:rPr>
          <w:b/>
        </w:rPr>
        <w:t>E. 1</w:t>
      </w:r>
    </w:p>
    <w:p>
      <w:r>
        <w:t>Par décision du 9 août 2013, la Cour de justice du canton de Genève a déclaré irrecevable le recours déposé par X.________ contre le refus par l'Office cantonal de la population et le Tribunal administratif de première instance du canton de Genève de lui octroyer une autorisation de séjour en raison du versement tardif de l'avance de frais, le 31 juillet 2013, alors que la demande d'avance de frais datée du 28 juin 2013, avec un délai pour le paiement au 28 juillet 2013, mentionnait l'avertissement qu'à défaut de paiement dans ce délai, le recours serait déclaré irrecevable.</w:t>
      </w:r>
    </w:p>
    <w:p>
      <w:r>
        <w:rPr>
          <w:b/>
        </w:rPr>
        <w:t>E. 2</w:t>
      </w:r>
    </w:p>
    <w:p>
      <w:r>
        <w:t>Par courrier du 30 août 2013, l'intéressé adresse un recours au Tribunal fédéral dans lequel il expose qu'il avait effectivement payé tardivement l'avance de frais et que ce retard était dû à la maladie de son père qui l'avait moralement affaibli.</w:t>
      </w:r>
    </w:p>
    <w:p>
      <w:r>
        <w:rPr>
          <w:b/>
        </w:rPr>
        <w:t>E. 3</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 Il appartenait donc au recourant non seulement d'invoquer l' art. 9 Cst. mais également de démontrer concrètement en quoi l'instance précédente aurait, le cas échéant, appliqué de manière arbitraire le droit de procédure cantonal en matière de délai de recours et de restitution des délais, ce qu'il n'a pas fait d'une manière conforme aux exigences accrues de motivation de l' art. 106 al. 2 LTF .</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