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2C_757/2016 vom 25. März 2020</w:t>
      </w:r>
    </w:p>
    <w:p>
      <w:r>
        <w:t>Bundesgericht, 2020-03-25, IT</w:t>
      </w:r>
    </w:p>
    <w:p>
      <w:r>
        <w:rPr>
          <w:b/>
        </w:rPr>
        <w:t xml:space="preserve">Quelle: </w:t>
      </w:r>
      <w:r>
        <w:t>https://mcp.opencaselaw.ch/entscheid/bger_2C_757_2016</w:t>
      </w:r>
    </w:p>
    <w:p>
      <w:r>
        <w:t>FR: TF 2C_757/2016 du 25 mars 2020</w:t>
      </w:r>
    </w:p>
    <w:p>
      <w:r>
        <w:t>IT: TF 2C_757/2016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La ricorrente chiede di dichiarare totalmente irricevibili le osservazioni presentate il 4 ottobre 2016 dal Consiglio di Stato rispettivamente di estrometterne l'intero capitolo II. Rimprovera al Consiglio di Stato di non esprimervisi sul merito del proprio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o di insieme di fondi sui quali sono presenti più di 50 posteggi per autovetture, essa fa parte della cerchia dei soggetti giuridici qualificabili quali debitori della controversa tassa di collegamento (art. 35h combinato con l'art. 35b LTPub). Osserva in seguito che l'ammontare dell'onere contributivo (supplementare) a suo carico, generato dall'introduzione della tassa di collegamento contestata, può essere valutato (non potendo allo stato attuale della procedura procedere ad una quantificazione precisa della somma litigiosa) in una forchetta da fr. 411'205.-- a fr. 483'000.--. Premesse queste considerazioni, non è quindi per nulla inverosimile che la ricorrente venga confrontata con l'applicazione della tassa ora contestata. La sua legittimazione ad agire va pertanto di principio ammessa.</w:t>
      </w:r>
    </w:p>
    <w:p>
      <w:r>
        <w:rPr>
          <w:b/>
        </w:rPr>
        <w:t>E. 1.7.3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sua la ricorrente si limita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 invece riguardo all'art. 30 cpv. 3 e 4 LTPub. Appare dubbio che una simile argomentazione sia sufficiente (vedasi DTF 142 V 395 consid. 3.1 pag. 397) a dimostrare che essa possa prevalersi perlomeno di un interesse virtuale. La questione non merita tuttavia ulteriori approfondimenti.</w:t>
      </w:r>
    </w:p>
    <w:p>
      <w:r>
        <w:rPr>
          <w:b/>
        </w:rPr>
        <w:t>E. 1.7.4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Dopo una premessa sull'iter legislativo e sulla propria situazione, la ricorrente si diffonde sulla qualifica giuridica del tributo litigioso, approccio secondo lei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la ricorrente, dopo avere diffusamente spiegato perché non vanno evidenziate le caratteristiche (contrariamente alla prima versione dell'art. 35 LTPub adottata nel 1994) di un tributo causale (ricorso pag. 26 e 27) né di una tassa di orientamento (</w:t>
      </w:r>
    </w:p>
    <w:p>
      <w:r>
        <w:t>"Lenkungsabgabe" ; ricorso pag. 28) illustra perché non si è nemmeno in presenza di un'imposta orientativa (</w:t>
      </w:r>
    </w:p>
    <w:p>
      <w:r>
        <w:t>"Lenkungssteuer" ; ricorso pag. 29 segg.). Al riguardo rileva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pendolari, essendo determinante l'offerta di trasporto pubblico esistente dove inizia il viaggio, non a destinazione. La ricorrente contesta in seguito che il tributo in esame possa essere qualificato di imposta di attribuzione dei costi (ricorso pag. 32 segg.) non essendo date a suo avviso le esigenze minime poste dalla prassi per ammetterne il prelievo (impossibilità di imputare le spese da coprire direttamente alle persone astrette al pagamento nonché di quantificarne precisamente l'ammontare; ricorso pag. 35 segg.).</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principio della legalità. Secondo lei la normativa litigiosa non contiene tutti gli elementi determinanti, difetterebbe segnatamente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minimo e massimo del tributo richiesto per le diverse categorie di posteggi nonché il modo per calcolarlo (art. 35e e 35f LTPub).</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4.2 pag. 232 seg.;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la ricorrente afferma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43 nota n. 6 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in applicazione dell'art. 35b cpv. 2 LTPub, i posti auto al servizio di abitazioni sono esclusi dall'assoggettamento allorché, a suo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Fa valere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la ricorrente,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pag. 42), grava solo una minoranza di proprietari fondiari, ossia 200 di loro,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o di più di un migliaio di posteggi (vedasi pag. 6 del ricorso ove viene articolata la cifra di 632 posteggi) e per i quali l'onere contributivo risulta rilevante. In effetti, come addotto dalla ricorrente, e non confutato dal Consiglio di Stato, essa dispone di più di 100 posti auto. Non può quindi beneficiare delle riduzioni previste dalla legge e l'importo dovuto varia dai fr. 411'205.-- ai fr. 483'000.-- annui.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(fino a fr. 483'000.--), senza dimenticare che viene prelevata soltanto su una parte minima dei posteggi esistenti in Ticino.</w:t>
      </w:r>
    </w:p>
    <w:p>
      <w:r>
        <w:t>Il fatto poi che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posteggi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Rileva che l'importo annuo da pagare nel caso di un fondo con 100 posteggi per dipendenti al servizio di un'attività economica in esercizio sei giorni alla settimana, cioè fr. 1'050.-- annui per ogni singolo posteggio equivale a quasi il triplo per rapporto ai canoni di locazione da lei praticati (fr. 360.-- annui). Essa non trarrà quindi più alcun reddito dalla locazione di posteggi (dovendo forse addirittura intaccare la propria sostanza privata per far fronte al nuovo onere contributivo), dato che per potere conseguire un guadagno dovrebbe locare i posteggi ad un prezzo (fr. 1'494.-- annui) corrispondente a più del quadruplo del canone di locazione usualmente praticato. In quanto poi mette gratuitamente a disposizione dei propri dipendenti i posteggi, questi ultimi si trasformeranno invece in una rilevantissima voce di costo supplementare imprevisto.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sia per quanto attiene all'attività di locatrice di posteggi, sia con riferimento alla sua posizione quale datore di lavoro. Con riferimento alla locazione, afferma che l'aggravio che pesa sui proprietari e/o datori di lavoro che possiedono 50 posteggi e più interviene nel gioco della concorrenza, poiché favorisce i concorrenti che affittano oggetti analoghi situati in stabili ubicati su fondi che dispongono di un numero inferiore di stalli veicolari e che non sono quindi assoggettati alla tassa di collegamento. Applica un analogo ragionamento al mercato del lavoro, asserendo che un dipendente qualificato, a parità di stipendio, andrà a lavorare presso un datore di lavoro che gli mette a disposizione gratuitamente un posteggio sul posto di lavoro, di modo che la tassa costituirebbe, per il datore di lavoro, una voce di costo supplementare.</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w:t>
      </w:r>
    </w:p>
    <w:p>
      <w:r>
        <w:t>La ricorrente fa valere che il proprietario di un fondo, quando vuole edificarlo, è tenuto a realizzare obbligatoriamente, in virtù delle norme comunali di applicazione del Piano regolatore (NAPR), i posteggi necessari al servizio della costruzione oppure a versare un oneroso contributo sostitutivo al Comune. In queste condizioni la tassa di collegamento risulta totalmente assurda, quindi arbitraria, ritenuto che da un lato viene imposto ai privati di realizzare dei posteggi (sanzionandoli in caso di inadempimento), mentre dall'altro essi sono gravati con un'imposta speciale che colpisce chi realizza i posteggi imposti.</w:t>
      </w:r>
    </w:p>
    <w:p>
      <w:r>
        <w:t>Per quanto concerne la pretesa contraddizione dovuta al fatto che, secondo le norme comunali di attuazione del Piano Regolatore (NAPR), i Comuni prelevano un contributo sostitutivo quando i proprietari che edificano i loro fondi non realizzano la quantità minima di posteggi ivi stabilita, mentre chi è assoggettato alla tassa di collegamento (siccome possiede 50 posteggi e più) non può ridurre il numero dei suoi parcheggi (contrariamente a quanto sancito dall'art. 35f LTPub), se non previo pagamento di un ulteriore aggravio finanziario (il citato contributo sostitutivo), il Consiglio di Stato rileva che il numero dei posteggi necessari da realizzare sui fondi privati (eccettuati quelli al servizio dell'abitazione) viene determinato dal Regolamento cantonale posteggi privati ( art. 51 a 62 RLst). Lo stesso ha abrogato e rese inapplicabili tutte le norme comunali di applicazione del Piano Regolatore relative alla quantificazione del numero di detti posteggi, salvo eventuali disposizioni più restrittive (art. 43 cpv. 2 LST). Rammentato che l'applicazione del Regolamento cantonale posteggi privati compete alla Sezione della mobilità (art. 3 RLst), il Consiglio di Stato sottolinea che i Comuni non hanno competenza in materia e non possono stabilire un fabbisogno maggiore (né esigere un contributo sostitutivo in base al medesimo) rispetto a quello definito in maniera restrittiva in applicazione di detto regolamento (art. 51 RLst), il quale determina il numero dei posteggi necessari (cioè il numero minimo di posteggi di cui occorre disporre quanto quello massimo realizzabile, cfr. art. 52 cpv. 3 RLst) riducendo il fabbisogno massimo di riferimento (art. 53-56 RLst) in funzione, tra l'altro, della qualità del servizio di trasporto pubblico (art. 59-60 RLst; vedasi anche gli art. 60 cpv. 4, 61 e 61a RLst che permettono, a determinate condizioni, di applicare valori ancora più restrittivi). Il contributo sostituivo comunale può essere chiesto invece per i posteggi mancanti rispetto al numero di quelli necessari in base al Regolamento posteggi privati (riservate norme comunali ancora più restrittive, cfr. art. 43 cpv. 2 LST). Conclude osservando che in nessun caso un Comune può stabilire un fabbisogno maggiore rispetto a quello definito in applicazione del Regolamento posteggi privati e richiedere il versamento di contributi sostitutivi per la differenza. Premesse queste considerazioni, e rammentato che non possono essere emanate delle norme comunali che violano sia il senso sia lo spirito del diritto cantonale e ne pregiudicano la realizzazione, ne discende che l'arbitrio lamentato dalla ricorrente non è dato.</w:t>
      </w:r>
    </w:p>
    <w:p>
      <w:r>
        <w:rPr>
          <w:b/>
        </w:rPr>
        <w:t>E. 10.1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10.2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11</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