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2C_757/2013 vom 23. Februar 2014</w:t>
      </w:r>
    </w:p>
    <w:p>
      <w:r>
        <w:t>Bundesgericht, 2014-02-23, DE</w:t>
      </w:r>
    </w:p>
    <w:p>
      <w:r>
        <w:rPr>
          <w:b/>
        </w:rPr>
        <w:t xml:space="preserve">Quelle: </w:t>
      </w:r>
      <w:r>
        <w:t>https://mcp.opencaselaw.ch/entscheid/bger_2C_757_2013</w:t>
      </w:r>
    </w:p>
    <w:p>
      <w:r>
        <w:t>FR: TF 2C_757/2013 du 23 février 2014</w:t>
      </w:r>
    </w:p>
    <w:p>
      <w:r>
        <w:t>IT: TF 2C_757/2013 del 23 febbraio 2014</w:t>
      </w:r>
    </w:p>
    <w:p>
      <w:pPr>
        <w:pStyle w:val="Heading2"/>
      </w:pPr>
      <w:r>
        <w:t>Erwägungen</w:t>
      </w:r>
    </w:p>
    <w:p>
      <w:r>
        <w:rPr>
          <w:b/>
        </w:rPr>
        <w:t>E. 1.1</w:t>
      </w:r>
    </w:p>
    <w:p>
      <w:r>
        <w:t>Der verfahrensabschliessende Entscheid des Verwaltungsgerichts als letzter kantonaler Gerichtsinstanz in einer Angelegenheit des öffentlichen Rechts unterliegt grundsätzlich der Beschwerde in öffentlich-rechtlichen Angelegenheiten ( Art. 82 lit. a BGG , Art. 86 Abs. 1 lit. d BGG , Art. 90 BGG ). Gemäss Art. 83 lit. c Ziff. 2 BGG ist die Beschwerde unzulässig gegen Entscheide auf dem Gebiet des Ausländerrechts betreffend Bewilligungen, auf die weder das Bundesrecht noch das Völkerrecht einen Anspruch einräumt.</w:t>
      </w:r>
    </w:p>
    <w:p>
      <w:r>
        <w:rPr>
          <w:b/>
        </w:rPr>
        <w:t>E. 1.1.1</w:t>
      </w:r>
    </w:p>
    <w:p>
      <w:r>
        <w:t>Der Beschwerdeführer ist Vater von fünf in der Schweiz lebenden Kindern, von denen vier über das Schweizer Bürgerrecht und eines über die Niederlassungsbewilligung verfügen und zu denen der Beschwerdeführer - in unterschiedlicher Häufigkeit - Kontakt pflegt. Aufgrund des gefestigten Anwesenheitsrechts der Kinder kann sich der Beschwerdeführer auf Art. 8 Ziff. 1 EMRK berufen (vgl. BGE 135 I 143 E. 1.3.1 S. 145). Ob das in dieser Bestimmung garantierte Recht auf Achtung des Familienlebens verletzt ist, bildet Gegenstand der materiellen Beurteilung ( BGE 136 II 177 E. 1.1 S. 179).</w:t>
      </w:r>
    </w:p>
    <w:p>
      <w:r>
        <w:rPr>
          <w:b/>
        </w:rPr>
        <w:t>E. 1.1.2</w:t>
      </w:r>
    </w:p>
    <w:p>
      <w:r>
        <w:t>Der Beschwerdeführer kann sich zudem auf Art. 50 AuG berufen. Zwar hatte er die Ehegemeinschaft mit Y.________ bereits Ende 2006 aufgegeben. Er verfügte jedoch im Zeitpunkt des Inkrafttretens des AuG am 1. Januar 2008 noch bis zum 10. August 2008 über eine Aufenthaltsbewilligung, welche auf der Ehe beruhte (zum altrechtlichen Anspruch auf Bewilligungsverlängerung kraft formellen Bestands der Ehe vgl. Urteil 2C_613/2013 vom 1. Februar 2014 E. 1.1). Ob der Anspruch zu bejahen ist, bildet Gegenstand der materiellen Beurteilung ( BGE 136 II 177 E. 1.1 S. 179).</w:t>
      </w:r>
    </w:p>
    <w:p>
      <w:r>
        <w:rPr>
          <w:b/>
        </w:rPr>
        <w:t>E. 1.2</w:t>
      </w:r>
    </w:p>
    <w:p>
      <w:r>
        <w:t>Die Beschwerde in öffentlich-rechtlichen Angelegenheiten ist zulässig.</w:t>
      </w:r>
    </w:p>
    <w:p>
      <w:r>
        <w:rPr>
          <w:b/>
        </w:rPr>
        <w:t>E. 1.3</w:t>
      </w:r>
    </w:p>
    <w:p>
      <w:r>
        <w:t>Die übrigen Sachurteilsvoraussetzungen sind offensichtlich erfüllt; auf die Beschwerde ist einzutreten. Für die hilfsweise erhobene subsidiäre Verfassungsbeschwerde bleibt gemäss Art. 113 BGG kein Raum, weshalb darauf nicht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136 II 304 E. 2.5 S. 314).</w:t>
      </w:r>
    </w:p>
    <w:p>
      <w:r>
        <w:rPr>
          <w:b/>
        </w:rPr>
        <w:t>E. 2.3</w:t>
      </w:r>
    </w:p>
    <w:p>
      <w:r>
        <w:t>Neue Tatsachen und Beweismittel dürfen nur so weit vorgebracht werden, als erst der Entscheid der Vorinstanz dazu Anlass gibt ( Art. 99 Abs. 1 BGG ). Unzulässig sind hingegen neue Tatsachen, die bereits der Vorinstanz hätten vorgelegt werden können ( BGE 136 III 123 E. 4.4.3 S. 129). In seiner Replik reicht der Beschwerdeführer diverse Unterlagen ein, welche - soweit überhaupt rechtserheblich - schon der Vorinstanz hätten vorgelegt werden können. Es ist nicht ersichtlich, inwiefern diese Beweismittel unter Art. 99 Abs. 1 BGG fallen könnten, weshalb sie im vorliegenden Verfahren unbeachtet bleiben.</w:t>
      </w:r>
    </w:p>
    <w:p>
      <w:r>
        <w:t>Tatsachen oder Beweismittel, welche sich auf das vorinstanzliche Prozessthema beziehen, sich jedoch erst nach dem angefochtenen Entscheid ereignet haben oder entstanden sind, können von vornherein nicht durch das angefochtene Urteil veranlasst worden sein (vgl. Urteil 2C_833/2011 vom 6. Juni 2012 E. 1.2 mit Hinweis). Die nach dem 26. Juni 2013 datierenden Schriftstücke sind als so genannte "echte Noven" im bundesgerichtlichen Verfahren in jedem Fall unzulässig ( BGE 133 IV 342 E. 2.1 S. 344).</w:t>
      </w:r>
    </w:p>
    <w:p>
      <w:r>
        <w:rPr>
          <w:b/>
        </w:rPr>
        <w:t>E. 3</w:t>
      </w:r>
    </w:p>
    <w:p>
      <w:r>
        <w:t>Der Beschwerdeführer macht geltend, Art. 3 Abs. 6 Anhang I FZA (SR 0.142.112.681) sei verletzt worden.</w:t>
      </w:r>
    </w:p>
    <w:p>
      <w:r>
        <w:rPr>
          <w:b/>
        </w:rPr>
        <w:t>E. 3.1</w:t>
      </w:r>
    </w:p>
    <w:p>
      <w:r>
        <w:t>Gemäss Art. 3 Abs. 6 Anhang I FZA dürfen die Kinder eines Staatsangehörigen einer Vertragspartei ungeachtet dessen, ob dieser im Hoheitsgebiet der anderen Vertragspartei eine Erwerbstätigkeit ausübt oder keine Erwerbstätigkeit ausübt oder eine Erwerbstätigkeit ausgeübt hat, unter den gleichen Bedingungen wie die Staatsangehörigen des Aufnahmestaates, sofern sie in dessen Hoheitsgebiet wohnen, am allgemeinen Unterricht sowie an der Lehrlings- und Berufsausbildung teilnehmen. Die Bestimmung ist Art. 12 der Verordnung Nr. 1612/68 des Rates vom 15. Oktober 1968 über die Freizügigkeit der Arbeitnehmer innerhalb der Gemeinschaft (ABl. L 257 vom 19. Oktober 1968 S. 2 ff.) nachgebildet ( BGE 139 II 393 E. 3.1 S. 396).</w:t>
      </w:r>
    </w:p>
    <w:p>
      <w:r>
        <w:rPr>
          <w:b/>
        </w:rPr>
        <w:t>E. 3.2</w:t>
      </w:r>
    </w:p>
    <w:p>
      <w:r>
        <w:t>Der Gerichtshof der Europäischen Gemeinschaften (EuGH) hat in Auslegung von Art. 3 Abs. 6 Anhang I FZA Folgendes entschieden: Die Kinder eines EU-Bürgers, die sich in einem Mitgliedstaat niedergelassen haben, während der Elternteil dort ein Aufenthaltsrecht als Wanderarbeitnehmer hatte, dürfen sich weiter in diesem Mitgliedstaat aufhalten, um am allgemeinen Unterricht gemäss Art. 12 der Verordnung Nr. 1612/68 teilnehmen zu können. Dabei ist nicht von Belang, ob die Eltern der Kinder inzwischen geschieden wurden, ob nur der eine Elternteil EU-Bürger, jedoch nicht mehr Wanderarbeitnehmer im Aufnahmestaat ist oder ob die Kinder selbst nicht über die EU-Bürgerschaft verfügen (Urteil des EuGH vom 17. September 2002 C-413/99</w:t>
      </w:r>
    </w:p>
    <w:p>
      <w:r>
        <w:t>Baumbast, Slg. 2002 I-7091 Randnr. 63). Sofern die Kinder ein entsprechendes Aufenthaltsrecht geltend machen können, erlaubt Art. 12 der Verordnung Nr. 1612/68 dem die Sorge tatsächlich ausübenden Elternteil unabhängig von dessen Staatsangehörigkeit, sich bei diesen aufzuhalten, damit sie ihr Recht auf Bildung wahrnehmen können (Urteil</w:t>
      </w:r>
    </w:p>
    <w:p>
      <w:r>
        <w:t>Baumbast , Randnr. 75).</w:t>
      </w:r>
    </w:p>
    <w:p>
      <w:r>
        <w:t>Das Urteil</w:t>
      </w:r>
    </w:p>
    <w:p>
      <w:r>
        <w:t>Baumbast wurde in der Folge bestätigt und dahingehend präzisiert, dass dem Elternteil, der die Sorge für die Kinder tatsächlich wahrnimmt, ein Anspruch auf Aufenthalt in Anwendung von Art. 12 der Verordnung Nr. 1612/68 zukommt, ungeachtet dessen, ob er über ausreichende Existenzmittel zur Vermeidung der Sozialhilfeabhängigkeit und über eine Krankenversicherung im Aufnahmestaat verfügt (Urteile des EuGH vom 23. Februar 2010 C-310/08</w:t>
      </w:r>
    </w:p>
    <w:p>
      <w:r>
        <w:t>Ibrahim, Randnr. 25 ff., und C-480/08</w:t>
      </w:r>
    </w:p>
    <w:p>
      <w:r>
        <w:t>Teixeira, Randnr. 34 ff.; vgl. zum Ganzen FERDINAND WOLLENSCHLÄGER, Aktuelle Fragen der EU-Personenfreizügigkeit, in: Achermann et al. [Hrsg.], Jahrbuch für Migrationsrecht 2009/2010, S. 23 ff.).</w:t>
      </w:r>
    </w:p>
    <w:p>
      <w:r>
        <w:rPr>
          <w:b/>
        </w:rPr>
        <w:t>E. 3.3</w:t>
      </w:r>
    </w:p>
    <w:p>
      <w:r>
        <w:t>Was die Anwendung des FZA betrifft, wird gemäss Art. 16 Abs. 2 FZA die einschlägige Rechtsprechung des Gerichtshofs der Europäischen Gemeinschaften vor dem Zeitpunkt der Unterzeichnung berücksichtigt, soweit hierfür Begriffe des Gemeinschaftsrechts herangezogen werden; über die Rechtsprechung nach dem Zeitpunkt der Unterzeichnung wird die Schweiz unterrichtet. Das FZA wurde am 21. Juni 1999 abgeschlossen, so dass für das Bundesgericht die Rechtsprechung des EuGH bis zu diesem Zeitpunkt massgebend ist. Um eine möglichst parallele Rechtslage zu gewährleisten, weicht das Bundesgericht praxisgemäss nicht ohne triftigen Grund von der nach diesem Zeitpunkt ergangenen Rechtsprechung des EuGH ab ( BGE 139 II 393 E. 4.1.1 S. 397; 136 II 65 E. 3.1 S. 70).</w:t>
      </w:r>
    </w:p>
    <w:p>
      <w:r>
        <w:t>Die zitierten Urteile des EuGH</w:t>
      </w:r>
    </w:p>
    <w:p>
      <w:r>
        <w:t>Baumbast ,</w:t>
      </w:r>
    </w:p>
    <w:p>
      <w:r>
        <w:t>Ibrahim und</w:t>
      </w:r>
    </w:p>
    <w:p>
      <w:r>
        <w:t>Teixeira sind nach dem 21. Juni 1999 ergangen. Das Bundesgericht hat die Frage, ob diese Rechtsprechung zu übernehmen sei, in BGE 139 II 393 E. 4.2.1 nicht abschliessend entschieden. Dies ist auch im vorliegenden Fall nicht notwendig, da der Beschwerdeführer aus dieser Rechtsprechung nichts für sich ableiten kann.</w:t>
      </w:r>
    </w:p>
    <w:p>
      <w:r>
        <w:rPr>
          <w:b/>
        </w:rPr>
        <w:t>E. 3.4</w:t>
      </w:r>
    </w:p>
    <w:p>
      <w:r>
        <w:t>Der Zweck des in Art. 3 Abs. 6 des Anhangs I zum FZA übernommenen selbständigen Anwesenheitsrechts für Kinder von Bürgern aus EU- oder EFTA-Staaten bzw. deren Partnern liegt darin, die Integration im Aufnahmestaat durch die Teilnahme am allgemeinen Unterricht zu fördern (vgl. Urteil</w:t>
      </w:r>
    </w:p>
    <w:p>
      <w:r>
        <w:t>Baumbast , Randnr. 59). Dies setzt voraus, dass die Kinder bei (noch) intakter Familiengemeinschaft tatsächlich begonnen haben, sich durch die Teilnahme am Unterricht in die Gesellschaft des Aufnahmestaates zu integrieren. Bei Kleinkindern, die noch in erster Linie auf den familiären Bereich bezogen leben, ist dies nicht der Fall, auch wenn sie in eine Tageskrippe oder allenfalls in den Kindergarten gehen ( BGE 139 II 393 E. 4.2.2 S. 399). Der Sohn E.________, von dessen Anwesenheitsrecht der Beschwerdeführer ein eigenes Aufenthaltsrecht ableiten will, war im Zeitpunkt des angefochtenen Urteils xxx Jahre alt. Bei dieser Sachlage ist Art. 3 Abs. 6 Anhang I FZA von vornherein nicht einschlägig.</w:t>
      </w:r>
    </w:p>
    <w:p>
      <w:r>
        <w:t>Es ist überdies fraglich, ob die angerufene Rechtsprechung auch dann gilt, wenn das Kind - wie hier - die Ausbildung im Aufnahmestaat ohnehin absolvieren kann, weil der andere Elternteil (hier die Mutter) Staatsangehöriger der EU ist, ebenfalls im Aufnahmestaat wohnt und das Sorgerecht hat. In dieser Konstellation bedarf es des zusätzlichen Aufenthalts des Vaters nicht, um dem Kind die Teilnahme am Unterricht zu ermöglichen; der Zweck von Art. 3 Abs. 6 Anhang I FZA würde durch die Verweigerung des Aufenthaltsrechts des Vaters nicht vereitelt.</w:t>
      </w:r>
    </w:p>
    <w:p>
      <w:r>
        <w:t>Die Frage braucht aber nicht vertieft zu werden. Selbst wenn E.________ unter Art. 3 Abs. 6 Anhang I FZA fallen würde, könnte der Beschwerdeführer daraus kein Aufenthaltsrecht für sich selbst ableiten, da er die elterliche Sorge für E.________ nicht ausübt. Die Vorinstanz hat willkürfrei und für das Bundesgericht verbindlich festgestellt, dass Z.________ das Sorgerecht für E.________ allein innehat (vgl. Art. 298 Abs. 1 ZGB ) und dem Beschwerdeführer lediglich ein Recht auf angemessenen persönlichen Verkehr gemäss Art. 273 ZGB zukommt. Entgegen dem Vorbringen des Beschwerdeführers spielt es keine Rolle, dass er und die Kindsmutter "im Zeitpunkt der Verhaftung" zusammenlebten. Ein gefestigtes Konkubinat mit Z.________ lag ganz bestimmt nicht vor und ein gemeinsames Sorgerecht (welches hätte beantragt werden müssen, vgl. Art. 298a Abs. 1 ZGB ) stand nie zur Debatte. Eine allfällige Berufung auf die zitierte Rechtsprechung des EuGH würde somit auch daran scheitern, dass diese die (tatsächlich ausgeübte) elterliche Sorge der rechtsuchenden Person ausdrücklich voraussetzt.</w:t>
      </w:r>
    </w:p>
    <w:p>
      <w:r>
        <w:rPr>
          <w:b/>
        </w:rPr>
        <w:t>E. 4</w:t>
      </w:r>
    </w:p>
    <w:p>
      <w:r>
        <w:t>Der Beschwerdeführer rügt eine Verletzung von Art. 8 EMRK sowie von Art. 3 des Übereinkommens vom 20. November 1989 über die Rechte des Kindes (SR 0.107, nachfolgend: UNO-Kinderrechtekonvention).</w:t>
      </w:r>
    </w:p>
    <w:p>
      <w:r>
        <w:rPr>
          <w:b/>
        </w:rPr>
        <w:t>E. 4.1</w:t>
      </w:r>
    </w:p>
    <w:p>
      <w:r>
        <w:t>Vor seiner Verhaftung habe er ein Jahr mit E.________ zusammengelebt; das Verhältnis mit Z.________ habe sich stabilisiert. Sie würden ein eheähnliches Leben führen, wodurch ein Besuchsrecht obsolet werde. Z.________ und das Kind würden ihn regelmässig im Strafvollzug besuchen, was zeige, dass die Beziehung zu seinem Sohn gelebt und intensiv sei.</w:t>
      </w:r>
    </w:p>
    <w:p>
      <w:r>
        <w:rPr>
          <w:b/>
        </w:rPr>
        <w:t>E. 4.2</w:t>
      </w:r>
    </w:p>
    <w:p>
      <w:r>
        <w:t>Die Vorinstanz hat zu Recht hervorgehoben, dass der nicht sorge- bzw. obhutsberechtigte ausländische Elternteil den Kontakt zu seinem Kind von vornherein nur in beschränktem Rahmen pflegen kann,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her ausgeübt werden kann, wobei allenfalls die Modalitäten des Besuchsrechts entsprechend auszugestalten sind. Gemäss der ständigen Rechtsprechung des Bundesgerichts kann ein weitergehender Anspruch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vgl. BGE 120 Ib 1 E. 3c S. 5; 120 Ib 22 E. 4 S. 24 ff.; Urteile 2C_586/2013 vom 3. Dezember 2013 E. 3.2.6; 2C_329/2013 vom 27. November 2013 E. 3.2).</w:t>
      </w:r>
    </w:p>
    <w:p>
      <w:r>
        <w:t>Die erwähnte Rechtsprechung wurde in erster Linie für geschiedene Ehepartner entwickelt, welche vom sorgeberechtigten Elternteil getrennt leben. Sie ist aber gleichermassen anwendbar auf den unverheirateten, nicht sorgeberechtigten Elternteil. Denn rechtlich betrachtet hat auch dieser nur Anspruch auf angemessenen persönlichen Verkehr mit dem Kind, selbst wenn die Partner zusammenleben. Diese Konstellation dürfte ohnehin selten sein, da ein unverheiratetes Paar, welches mit einem gemeinsamen Kind zusammenlebt, in der Regel das gemeinsame Sorgerecht gemäss Art. 298a Abs. 1 ZGB beantragen wird.</w:t>
      </w:r>
    </w:p>
    <w:p>
      <w:r>
        <w:rPr>
          <w:b/>
        </w:rPr>
        <w:t>E. 4.3</w:t>
      </w:r>
    </w:p>
    <w:p>
      <w:r>
        <w:t>Nach den verbindlichen Feststellungen der Vorinstanz hat der Beschwerdeführer E.________ nach dessen Geburt nicht sogleich anerkannt. Erst ein Jahr danach hatten er und Z.________ wieder vermehrt Kontakt, und der Beschwerdeführer lebte von Februar 2011 bis Mitte August bei ihr. In dieser Zeit kam es zu häuslicher Gewalt; zudem gab Z.________ gegenüber den Behörden an, der Beschwerdeführer habe sich zu wenig um E.________ gekümmert. Von November 2011 bis Anfang November 2012 lebten der Beschwerdeführer und Z.________ erneut zusammen, wobei sich der Kontakt zu E.________ regelmässiger gestaltete. Das Zusammenleben des Beschwerdeführers mit seinem Sohn E.________ dauerte höchstens eineinhalb Jahre und wurde mit dem Strafantritt Anfang November 2012 beendet; nach eigenen Aussagen besuchte Z.________ den Beschwerdeführer mit dem Kind zwei Mal im Strafvollzug.</w:t>
      </w:r>
    </w:p>
    <w:p>
      <w:r>
        <w:rPr>
          <w:b/>
        </w:rPr>
        <w:t>E. 4.4</w:t>
      </w:r>
    </w:p>
    <w:p>
      <w:r>
        <w:t>Es kann offen bleiben, ob in Bezug auf E.________ eine besonders enge affektive Beziehung gemäss der neuen bundesgerichtlichen Praxis zur Intensität des Besuchsrechts (vgl. Urteil 2C_1112/2012 vom 14. Juni 2013 E. 2, zur Publikation vorgesehen) zu bejahen wäre. Da der Beschwerdeführer weder seine Unterhaltspflichten erfüllt noch ein tadelloses Verhalten im Sinn der zitierten Rechtsprechung (vgl. E. 4.2) an den Tag gelegt, sondern sogar einen Widerrufsgrund im Sinn von Art. 62 lit. b AuG gesetzt hatte (vgl. E. 5.1), ist ein Anspruch aus Art. 8 Ziff. 1 EMRK jedenfalls zu verneinen.</w:t>
      </w:r>
    </w:p>
    <w:p>
      <w:r>
        <w:t>Im Übrigen ist darauf hinzuweisen, dass die UNO-Kinderrechtekonvention keine weitergehenden Ansprüche auf Bewilligung vermittelt als die EMRK (Urteile 2C_236/2013 vom 19. August 2013 E. 5.3.2; 2C_339/2013 vom 18. Juli 2013 E. 2.9 mit Hinweisen).</w:t>
      </w:r>
    </w:p>
    <w:p>
      <w:r>
        <w:rPr>
          <w:b/>
        </w:rPr>
        <w:t>E. 4.5</w:t>
      </w:r>
    </w:p>
    <w:p>
      <w:r>
        <w:t>Auch aus dem Urteil des EGMR</w:t>
      </w:r>
    </w:p>
    <w:p>
      <w:r>
        <w:t>Udeh gegen Schweiz vom 16. April 2013 (Nr. 12020/09, in: Plädoyer 2013 3 S. 64) kann der Beschwerdeführer nichts zu seinen Gunsten ableiten. Abgesehen davon, dass sich die familiäre Situation in jenem Fall anders präsentierte, kann das erwähnte Urteil des EGMR nicht als Grundsatzurteil gelten. Dieses erscheint vielmehr als spezifischer Anwendungsfall der bisherigen Praxis des EGMR (vgl. insb. das Urteil</w:t>
      </w:r>
    </w:p>
    <w:p>
      <w:r>
        <w:t>Üner gegen Niederlande vom 18. Oktober 2006, Recueil CourEDH 2006-XII S. 159 §§ 54 ff.; vgl. auch die Urteile</w:t>
      </w:r>
    </w:p>
    <w:p>
      <w:r>
        <w:t>Boultif gegen Schweiz vom 2. August 2001 [Nr. 54273/00];</w:t>
      </w:r>
    </w:p>
    <w:p>
      <w:r>
        <w:t>Emre gegen Schweiz vom 11. Oktober 2011 [Nr. 5056/10]), die von der Vorinstanz korrekt angewendet worden ist (vgl. Urteile 2C_522/2013 vom 23. Dezember 2013 E. 4.7; 2C_586/2013 vom 3. Dezember 2013 E. 3.2.5; 2C_360/2013 vom 21. Oktober 2013 E. 2.5; 2C_339/2013 vom 18. Juli 2013 E. 2.9; 2C_139/2013 vom 11. Juni 2013 E. 7.5). Zudem hat das Bundesgericht die Bedeutung des Urteils</w:t>
      </w:r>
    </w:p>
    <w:p>
      <w:r>
        <w:t>Udeh stark relativiert, im Wesentlichen mit der Begründung, der EGMR habe im erwähnten Entscheid diverse Umstände berücksichtigt, die erst nach der Beurteilung durch das Bundesgericht eingetreten sind (Urteil 2C_365/2013 vom 30. August 2013 E. 2.4, zur Publikation vorgesehen).</w:t>
      </w:r>
    </w:p>
    <w:p>
      <w:r>
        <w:rPr>
          <w:b/>
        </w:rPr>
        <w:t>E. 5</w:t>
      </w:r>
    </w:p>
    <w:p>
      <w:r>
        <w:t>Der Beschwerdeführer macht ferner eine Verletzung von Art. 50 Abs. 1 AuG in Verbindung mit Art. 96 AuG sowie von Art. 32 Abs. 1 BV geltend.</w:t>
      </w:r>
    </w:p>
    <w:p>
      <w:r>
        <w:rPr>
          <w:b/>
        </w:rPr>
        <w:t>E. 5.1</w:t>
      </w:r>
    </w:p>
    <w:p>
      <w:r>
        <w:t>Gemäss Art. 50 Abs. 1 AuG besteht nach Auflösung der Ehe- oder der Familiengemeinschaft der Anspruch des Ehegatten auf Erteilung und Verlängerung der Aufenthaltsbewilligung nach den Art. 42 und 43 AuG weiter, wenn die Ehegemeinschaft mindestens drei Jahre bestanden hat und eine erfolgreiche Integration besteht (lit. a) oder wenn wichtige persönliche Gründe einen weiteren Aufenthalt in der Schweiz erforderlich machen (lit. b).</w:t>
      </w:r>
    </w:p>
    <w:p>
      <w:r>
        <w:t>Der Beschwerdeführer war seit dem 19. September 2003 mit Y.________ verheiratet. Für die Dreijahresfrist nach Art. 50 Abs. 1 lit. a AuG zählen jedoch nur die in der Schweiz verbrachten Ehejahre ( BGE 136 II 113 E. 3.3). Die Frist hat somit am 27. Dezember 2005 zu laufen begonnen. Die Ehegemeinschaft wurde bereits am 22. Dezember 2006 aufgehoben; die Dreijahresfrist ist klar nicht erfüllt. Zudem fehlt es offensichtlich am Erfordernis der erfolgreichen Integration, so dass ein Anspruch gestützt auf Art. 50 Abs. 1 lit. a AuG zu verneinen ist.</w:t>
      </w:r>
    </w:p>
    <w:p>
      <w:r>
        <w:t>Der Beschwerdeführer macht keinen nachehelichen Härtefall im Sinn von Art. 50 Abs. 1 lit. b AuG geltend. Unter diesem Titel könnte die Verhältnismässigkeit der Trennung von den ehelichen Kindern unter den in E. 4.2 genannten Kriterien geprüft werden; der Beschwerdeführer gibt jedoch an, dass er diese vier Kinder seit der Einleitung des Scheidungsverfahrens nicht mehr sehe, weil Y.________ sie ihm vorenthalte. Wie es sich damit verhält, braucht nicht abschliessend geprüft zu werden: Mit der Tochter A.________ hat der Beschwerdeführer nur sehr kurze Zeit, während knapp elf Monaten, zusammengelebt. Mit den Kindern B._______, C._______ und D._______ hat der Beschwerdeführer nie zusammengelebt. Wie den Akten zu entnehmen ist, gestaltete sich das Besuchsrecht nicht reibungslos, so dass ein Anspruch auf umgekehrten Familiennachzug auch hinsichtlich der gemeinsamen Kinder mit Y.________ zu verneinen wäre. Dies gilt umso mehr, als der Beschwerdeführer durch die Verurteilung zu einer Freiheitsstrafe von 22 Monaten unzweifelhaft einen Widerrufsgrund gemäss Art. 62 lit. b AuG gesetzt hat (vgl. BGE 135 II 377 E. 4.2 S. 379), wodurch der Anspruch nach Art. 50 AuG zum Erlöschen gebracht wird (Art. 51 Abs. 2 lit. b AuG).</w:t>
      </w:r>
    </w:p>
    <w:p>
      <w:r>
        <w:rPr>
          <w:b/>
        </w:rPr>
        <w:t>E. 5.2</w:t>
      </w:r>
    </w:p>
    <w:p>
      <w:r>
        <w:t>Der Beschwerdeführer erachtet die Nichtverlängerung der Aufenthaltsbewilligung als unverhältnismässig und beruft sich auf Art. 96 Abs. 1 AuG. Die Verhältnismässigkeitsprüfung nach Art. 8 Ziff. 2 EMRK ist in der in E. 4.2 zitierten Rechtsprechung enthalten, wonach ein Anspruch des nicht sorgeberechtigten Elternteils auf Verbleib in der Schweiz nur unter besonderen Voraussetzungen bejaht werden kann. Das Nämliche gilt unter dem Gesichtspunkt von Art. 50 Abs. 1 lit. b AuG.</w:t>
      </w:r>
    </w:p>
    <w:p>
      <w:r>
        <w:t>Es mag angefügt werden, dass der Beschwerdeführer als Erwachsener in die Schweiz gekommen ist und im Zeitpunkt des angefochtenen Urteils siebeneinhalb Jahre hier gelebt hat. Er konnte beruflich nur mit grosser Mühe Fuss fassen und musste jahrelang von der Sozialhilfe unterstützt werden. Die Rückkehr nach Kuba ist dem noch jungen Beschwerdeführer ohne weiteres zumutbar, zumal er während der letzten Jahre mehrere Reisen dorthin unternommen hat und nicht nur seine Familie, sondern auch ein weiteres Kind von ihm dort lebt.</w:t>
      </w:r>
    </w:p>
    <w:p>
      <w:r>
        <w:rPr>
          <w:b/>
        </w:rPr>
        <w:t>E. 5.3</w:t>
      </w:r>
    </w:p>
    <w:p>
      <w:r>
        <w:t>Die Vorinstanz erwog im Zusammenhang mit den strafrechtlichen Verurteilungen des Beschwerdeführers, weder die Beziehung zu seiner Frau, zu den Kindern noch zu seiner Freundin hätten ihn von weiterem Delinquieren abgehalten, würden doch auch aktuell Strafverfahren gegen ihn laufen. Der Beschwerdeführer sieht darin, dass ein laufendes Strafverfahren bei der Legalprognose berücksichtigt worden sei, einen Verstoss gegen die Unschuldsvermutung gemäss Art. 32 Abs. 1 BV .</w:t>
      </w:r>
    </w:p>
    <w:p>
      <w:r>
        <w:t>Art. 32 Abs. 1 BV schützt die konkret angeklagte Person</w:t>
      </w:r>
    </w:p>
    <w:p>
      <w:r>
        <w:t>im jeweiligen Verfahren vor Vorverurteilung, der Missachtung des Grundsatzes "in dubio pro reo" und vor Ersatzverurteilung mittels Kostenauflage ( HANS VEST, in: Ehrenzeller et al. [Hrsg.], Die schweizerische Bundesverfassung, Kommentar, 2. Aufl. 2008, N. 5 zu Art. 32 BV , Hervorhebung im Original). Nach bundesgerichtlicher Rechtsprechung kann die Unschuldsvermutung aber auch ausserhalb eines Strafverfahrens Wirkungen haben: Staatliche Behörden dürfen bei Fehlen einer rechtskräftigen Verurteilung niemanden als schuldig behandeln oder bezeichnen ( ESTHER TOPHINKE, Das Grundrecht der Unschuldsvermutung, 1999, S. 157). Demgemäss wäre es nicht zulässig, in einem laufenden Strafverfahren einen Rückfall zu erblicken. Dies tat aber die Vorinstanz nicht, wenngleich ihre Formulierung etwas unglücklich gewählt ist. Sie erwog, es könne - auch aufgrund der laufenden Strafverfahren - nicht ausgeschlossen werden, dass der Beschwerdeführer erneut rückfällig werde. Eine solche Aussage ist mit Art. 32 Abs. 1 BV vereinbar, denn auch ohne laufendes Strafverfahren konnte ein Rückfall nicht ausgeschlossen werden. So bezeichnete bereits das Obergericht in seinem Urteil vom 31. Oktober 2011 die Legalprognose des Beschwerdeführers als "recht getrübt". Dem Beschwerdeführer ist darin zuzustimmen, dass seine Legalprognose durch das laufende Strafverfahren nicht verändert worden ist. Dies ändert aber nichts daran, dass ihm das Obergericht eine erhebliche Rückfallgefahr attestiert hat; darauf durfte die Vorinstanz abstellen.</w:t>
      </w:r>
    </w:p>
    <w:p>
      <w:r>
        <w:rPr>
          <w:b/>
        </w:rPr>
        <w:t>E. 6</w:t>
      </w:r>
    </w:p>
    <w:p>
      <w:r>
        <w:t>Schliesslich moniert der Beschwerdeführer, die Vorinstanz habe Art. 29 Abs. 3 BV verletzt, indem sie ihm die unentgeltliche Rechtspflege verweigert habe.</w:t>
      </w:r>
    </w:p>
    <w:p>
      <w:r>
        <w:t>In Anbetracht der Verfehlungen des Beschwerdeführers, namentlich der Vorfälle von häuslicher Gewalt und der Verurteilung zu 22 Monaten Freiheitsstrafe, hat die Vorinstanz das Begehren des Beschwerdeführers, auch im Licht der Rechtsprechung in vergleichbaren Fällen, zu Recht als aussichtslos bezeichnet. Eine Verletzung von Art. 29 Abs. 3 BV liegt nicht vor.</w:t>
      </w:r>
    </w:p>
    <w:p>
      <w:r>
        <w:rPr>
          <w:b/>
        </w:rPr>
        <w:t>E. 7</w:t>
      </w:r>
    </w:p>
    <w:p>
      <w:r>
        <w:t>Nach dem Gesagten ist die Beschwerde als unbegründet abzuweisen.</w:t>
      </w:r>
    </w:p>
    <w:p>
      <w:r>
        <w:rPr>
          <w:b/>
        </w:rPr>
        <w:t>E. 7.1</w:t>
      </w:r>
    </w:p>
    <w:p>
      <w:r>
        <w:t>Mit Blick auf das ausführlich begründete Urteil der Vorinstanz muss die Beschwerde an das Bundesgericht ebenfalls als aussichtslos gelten. Das Gesuch um unentgeltliche Rechtspflege ist daher abzuweisen; der finanziellen Situation des Beschwerdeführers kann bei der Kostenauflage gemäss Art. 66 Abs. 1 BGG Rechnung getragen werden.</w:t>
      </w:r>
    </w:p>
    <w:p>
      <w:r>
        <w:rPr>
          <w:b/>
        </w:rPr>
        <w:t>E. 7.2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