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756/2007 vom 13. Februar 2008</w:t>
      </w:r>
    </w:p>
    <w:p>
      <w:r>
        <w:t>Bundesgericht, 2008-02-13, DE</w:t>
      </w:r>
    </w:p>
    <w:p>
      <w:r>
        <w:rPr>
          <w:b/>
        </w:rPr>
        <w:t xml:space="preserve">Quelle: </w:t>
      </w:r>
      <w:r>
        <w:t>https://mcp.opencaselaw.ch/entscheid/bger_2C_756_2007</w:t>
      </w:r>
    </w:p>
    <w:p>
      <w:r>
        <w:t>FR: TF 2C 756/2007 du 13 février 2008</w:t>
      </w:r>
    </w:p>
    <w:p>
      <w:r>
        <w:t>IT: TF 2C 756/2007 del 13 febbraio 2008</w:t>
      </w:r>
    </w:p>
    <w:p>
      <w:pPr>
        <w:pStyle w:val="Heading2"/>
      </w:pPr>
      <w:r>
        <w:t>Regeste</w:t>
      </w:r>
    </w:p>
    <w:p>
      <w:r>
        <w:t>Aufenthaltsbewilligung; Ausweisung | Bürgerrecht und Ausländerrecht</w:t>
      </w:r>
    </w:p>
    <w:p>
      <w:pPr>
        <w:pStyle w:val="Heading2"/>
      </w:pPr>
      <w:r>
        <w:t>Erwägungen</w:t>
      </w:r>
    </w:p>
    <w:p>
      <w:r>
        <w:rPr>
          <w:b/>
        </w:rPr>
        <w:t>E. 1</w:t>
      </w:r>
    </w:p>
    <w:p>
      <w:r>
        <w:t>Am 1. Januar 2008 ist das Bundesgesetz vom 16. Dezember 2005 über die Ausländerinnen und Ausländer (AuG, SR 142.20) in Kraft getreten. Massgebend für die materielle Beurteilung bleibt vorliegend aber, in analoger Anwendung von Art. 126 Abs. 1 AuG, grundsätzlich das bisherige Recht. Die hier zu beurteilende Streitsache richtet sich damit noch nach dem inzwischen aufgehobenen Bundesgesetz vom 26. Mai 1931 über Aufenthalt und Niederlassung der Ausländer (ANAG) und seinen Ausführungserlassen. Das Verfahren richtet sich dagegen nach dem neuen Recht (Art. 126 Abs. 2 AuG).</w:t>
      </w:r>
    </w:p>
    <w:p>
      <w:r>
        <w:rPr>
          <w:b/>
        </w:rPr>
        <w:t>E. 2.1</w:t>
      </w:r>
    </w:p>
    <w:p>
      <w:r>
        <w:t>Gegen die verfügte Nichtverlängerung der Aufenthaltsbewilligung ist - da der Beschwerdeführer als Ehemann einer Niedergelassenen gestützt auf Art. 17 Abs. 2 ANAG und Art. 8 EMRK einen grundsätzlichen Anspruch darauf hat - die Beschwerde in öffentlich-rechtlichen Angelegenheiten zulässig, ebenso gegen die mit dieser Massnahme verbundene förmliche Ausweisung ( Art. 83 lit. c Ziff. 1 BGG e contrario).</w:t>
      </w:r>
    </w:p>
    <w:p>
      <w:r>
        <w:rPr>
          <w:b/>
        </w:rPr>
        <w:t>E. 2.2</w:t>
      </w:r>
    </w:p>
    <w:p>
      <w:r>
        <w:t>Die Ansprüche des Ausländers aus Art. 17 Abs. 2 ANAG erlöschen, wenn er gegen die öffentliche Ordnung verstossen hat; er kann aus der Schweiz oder aus einem Kanton ausgewiesen werden, wenn er wegen eines Vergehens oder Verbrechens gerichtlich bestraft wurde ( Art. 10 Abs. 1 lit. a ANAG ). Dieser Ausweisungsgrund ist vorliegend erfüllt (vgl. vorne "B."). Die blosse Ankündigung bzw. Einleitung eines Revisionsverfahrens vermag hieran nichts zu ändern, so lange der Revisionsrichter die Vollziehbarkeit des Urteils nicht aufschiebt; es ist dem Beschwerdeführer gegebenenfalls zuzumuten, sein Revisionsverfahren vom Ausland her zu führen. Aus demselben Grund besteht kein Anlass, das vorliegende Verfahren zu sistieren. Die Ausweisung soll aber nur verfügt werden, wenn die nach Art. 11 Abs. 3 ANAG gebotene Interessenabwägung diese Massnahme als angemessen, d.h. als verhältnismässig (vgl. BGE 125 II 521 E. 2a S. 523) erscheinen lässt. Dabei sind namentlich die Schwere des Verschuldens des Ausländers, die Dauer der Anwesenheit sowie die dem Betroffenen und seiner Familie drohenden Nachteile zu berücksichtigen (vgl. Art. 16 Abs. 3 der Vollziehungsverordnung vom 1. März 1949 zum Bundesgesetz über Aufenthalt und Niederlassung der Ausländer [ANAV]; BGE 129 II 215 E. 3 und 4 S. 216 ff.; 125 II 105 ff.).</w:t>
      </w:r>
    </w:p>
    <w:p>
      <w:r>
        <w:rPr>
          <w:b/>
        </w:rPr>
        <w:t>E. 2.3</w:t>
      </w:r>
    </w:p>
    <w:p>
      <w:r>
        <w:t>Ausgangspunkt für die Interessenabwägung gemäss Art. 11 Abs. 3 ANAG ist das Verschulden des Ausländers. Dieses findet vorab im vom Strafrichter verhängten Strafmass seinen Ausdruck. Dabei sind umso strengere Anforderungen an die Schwere des strafrechtlichen Verschuldens zu stellen, je länger ein Ausländer in der Schweiz gelebt hat. Aber selbst bei in der Schweiz geborenen Ausländern der "zweiten Generation" ist die Ausweisung zulässig, wenn der Ausländer besonders schwere Gewalt-, Sexual- oder Betäubungsmitteldelikte begangen oder wiederholt schwer delinquiert hat. Unter Berücksichtigung aller entscheidenden Umstände kann schon eine einzige Verurteilung wegen einer besonders schwer wiegenden Straftat zur Ausweisung führen (zum Ganzen: BGE 130 II 176 E. 4.2-4.4 S. 185 ff.; 129 II 215 E. 3.2 S. 216 f.).</w:t>
      </w:r>
    </w:p>
    <w:p>
      <w:r>
        <w:rPr>
          <w:b/>
        </w:rPr>
        <w:t>E. 3.1</w:t>
      </w:r>
    </w:p>
    <w:p>
      <w:r>
        <w:t>Das Verwaltungsgericht hat im Wesentlichen erwogen, das Verschulden des Beschwerdeführers am Verkehrsunfall vom 5. Juni 2004 wiege schwer. Die erneute massive Geschwindigkeitsübertretung am 20. Mai 2006 - im Wissen um die erstinstanzliche Verurteilung wegen des Unfalls mit Todesfolge - zeuge sodann von "einem fehlenden Willen und einer fehlenden Fähigkeit, sich in die im Gaststaat geltende Ordnung einzufügen" (S. 8 des angefochtenen Entscheides). Die Ausweisung erweise sich auch als verhältnismässig: Die Zweisprachigkeit des Beschwerdeführers und die hier erworbenen Berufskenntnisse als Textilmitarbeiter bzw. Eisenleger würden es diesem ermöglichen, in seiner Heimat, wo seine Eltern und vier Schwestern lebten, beruflich leichter Fuss zu fassen, zumal sein beruflicher Leumund "in Ordnung" sei (S. 9 des angefochtenen Entscheides). Seiner Ehefrau und dem gemeinsamen Kind sei es zuzumuten, ihm in die Heimat zu folgen, zumal die Ehefrau nach wie vor über "enge Verbindungen zu ihren kulturellen Wurzeln" verfüge (S. 10 des angefochtenen Entscheides).</w:t>
      </w:r>
    </w:p>
    <w:p>
      <w:r>
        <w:rPr>
          <w:b/>
        </w:rPr>
        <w:t>E. 3.2</w:t>
      </w:r>
    </w:p>
    <w:p>
      <w:r>
        <w:t>Diese tatsächlichen Feststellungen und die von der Vorinstanz daraus gezogenen rechtlichen Schlussfolgerungen lassen sich nicht beanstanden: Das gegen den Beschwerdeführer verhängte Strafmass liegt weit über dem Richtwert, welcher nach der - für ausländische Ehegatten von Schweizern geltenden - so genannten Zweijahresregel (dazu BGE 110 Ib 201 , 130 II 176 E. 4.1 S. 185) für den Anspruch auf Erteilung einer Aufenthaltsbewilligung massgebend wäre. Keine 24 Monate nach dem Verkehrsunfall mit drei Todesopfern ist der Beschwerdeführer zudem wiederum als Autoraser aufgefallen. Entsprechend gross ist daher das öffentliche Interesse, ihn von der Schweiz fernzuhalten. Andererseits ist er, der als Erwachsener in die Schweiz gekommen ist und erst relativ kurze Zeit hier lebt, kein "Ausländer der zweiten Generation", der nur bei besonders gravierender Delinquenz ausgewiesen werden dürfte (vorne E. 2.3). Der Beschwerdeführer ist mit den Verhältnissen in seiner Heimat nach wie vor vertraut, und die Rückkehr in den Kosovo ist grundsätzlich auch der ebenfalls von dort stammenden, in der Schweiz niederlassungsberechtigten Ehefrau und dem sich noch in einem anpassungsfähigen Alter befindenden gemeinsamen Kind zumutbar. In der Beschwerdeschrift wird nichts vorgebracht, was die Bundesrechtskonformität der Ausweisung des Beschwerdeführers (welche ex lege auch die Aufenthaltsbewilligung zum Erlöschen bringt, vgl. Art. 9 Abs. 1 lit. d ANAG ) in Frage stellen könnte. Seine Bereitschaft, inskünftig auf einen Führerausweis der Kategorie B zu verzichten, ändert nichts.</w:t>
      </w:r>
    </w:p>
    <w:p>
      <w:r>
        <w:rPr>
          <w:b/>
        </w:rPr>
        <w:t>E. 4</w:t>
      </w:r>
    </w:p>
    <w:p>
      <w:r>
        <w:t>Die Beschwerde ist als offensichtlich unbegründet abzuweisen ( Art. 109 Abs. 2 lit. a BGG ). Bei diesem Ausgang sind die Kosten des bundesgerichtlichen Verfahrens vom Beschwerdeführer zu tragen ( Art. 65 und 66 BGG ). Seinem Gesuch um unentgeltliche Rechtspflege kann wegen Aussichtslosigkeit des Rechtsmittels nicht entsprochen werden ( Art. 64 Abs. 1 BGG ). Der wirtschaftlichen Lage des Beschwerdeführers wird bei der Bemessung der Gerichtskosten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