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2C_755/2016 vom 25. März 2020</w:t>
      </w:r>
    </w:p>
    <w:p>
      <w:r>
        <w:t>Bundesgericht, 2020-03-25, IT</w:t>
      </w:r>
    </w:p>
    <w:p>
      <w:r>
        <w:rPr>
          <w:b/>
        </w:rPr>
        <w:t xml:space="preserve">Quelle: </w:t>
      </w:r>
      <w:r>
        <w:t>https://mcp.opencaselaw.ch/entscheid/bger_2C_755_2016</w:t>
      </w:r>
    </w:p>
    <w:p>
      <w:r>
        <w:t>FR: TF 2C_755/2016 du 25 mars 2020</w:t>
      </w:r>
    </w:p>
    <w:p>
      <w:r>
        <w:t>IT: TF 2C_755/2016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e la replica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quale proprietaria di un fondo sul quale si trovano 447 posteggi per autovetture, essa fa parte della cerchia dei soggetti giuridici qualificabili quali debitori della controversa tassa di collegamento (art. 35b e 35c LTPub combinati con l'art. 3 RTColl). Osserva in seguito che l'ammontare dell'onere contributivo (supplementare) a suo carico, generato dall'introduzione della tassa di collegamento contestata, varia da un minimo di fr. 276'630.-- fino a un massimo di fr. 563'220.--. Premesse queste considerazioni, non è quindi per nulla inverosimile che la ricorrente venga confrontata con l'applicazione della tassa ora contestata. La sua legittimazione ad agire va pertanto di principio ammessa.</w:t>
      </w:r>
    </w:p>
    <w:p>
      <w:r>
        <w:rPr>
          <w:b/>
        </w:rPr>
        <w:t>E. 1.6.3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 Nella sua replica la ricorrente si rimette al giudizio di questa Corte.</w:t>
      </w:r>
    </w:p>
    <w:p>
      <w:r>
        <w:rPr>
          <w:b/>
        </w:rPr>
        <w:t>E. 1.6.4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Riassunto l'iter legislativo che ha preceduto l'adozione dei nuovi art. 35a-35t LTPub nonché degli art. 1 a 13 RTColl, la ricorrente osserva che, benché concepita come un tributo causale, si è in realtà in presenza di un'imposta, servendo la tassa di collegamento contestata alla copertura dei bisogni finanziari dello Stato. Essa spiega in seguito perché, a suo avviso, la stessa non è assimilabile ad un'imposta d'orientamento (i soggetti [proprietari di fondi su cui vi sono più di 50 posteggi] astretti al pagamento non sono quelli [utenti] di cui si vuole modificare il comportamento; assenza dell'obbligo di ribaltare la tassa sugli utenti; l'obiettivo è unicamente fiscale e non orientativo; impossibilità di scegliere un comportamento conforme agli obiettivi ricercati [rinuncia all'automobile privata] siccome la qualità del servizio pubblico è per lo più scarsa e insufficiente), bensì di un'imposta di attribuzione dei costi, i cui presupposti non sono tuttavia adempiuti (mancanza dei motivi oggettivi e sostenibili che permettono di addossare ai proprietari di fondi muniti di posteggi parte delle spese per il finanziamento del trasporto pubblico; inesistenza del rapporto particolarmente stretto tra queste spese e i contribuenti assoggettati; questi ultimi non approfittano, rispetto al resto della collettività, più intensamente della rete dei trasporti pubblici e non causano in maniera preponderante le spese ivi connesse).</w:t>
      </w:r>
    </w:p>
    <w:p>
      <w:r>
        <w:rPr>
          <w:b/>
        </w:rPr>
        <w:t>E. 2.2</w:t>
      </w:r>
    </w:p>
    <w:p>
      <w:r>
        <w:t>Esposti brevemente i motivi che hanno portato, tra l'altro, all'adozione della tassa di collegamento, ossia la volontà -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mette in avanti il vantaggio maggiore rispetto alla collettività risultante, per gli assoggettati, dallo sviluppo e il potenziamento dei trasporti pubblici. Al riguardo richiama quanto già attuato negli ultimi anni (il sistema ferroviario regionale Ticino-Lombardia [TILO]; il sistema S-Bahn tra Biasca, Bellinzona, Locarno, Lugano, Mendrisio, Chiasso, Como e Stabio, con nuove fermate presso le zone con importanti generatori di traffico; la frequenza portata ad ogni 15 minuti di certe linee che servono l'area industriale di Bioggio ed Agno; il potenziamento del servizio su gomma per le principali zone industriali e commerciali), quanto prospettato (estensione del TILO; realizzazione della rete tram-treno del Luganese; potenziamento del servizio su gomma nelle zone con importanti generatori di traffico attorno agli agglomerati di Locarno e Lugano), nonché precisa che la capillarità della rete dei trasporti pubblici contribuisce in modo rilevante all'attrattiva della localizzazione. Osserva poi che detto vantaggio non dipende dal fatto che ne facciano un uso immediato e/o diretto e, infine, sottolinea che la mobilità e la raggiungibilità sono migliorate (elementi che hanno, in particolare per le aziende e per i commerci, un valore economico). Dall'altro rileva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Precisa quindi che la strategia di mobilità sviluppata tende all'intermodalità (il trasporto cioè effettuato con l'ausilio di una combinazione di mezzi diversi, come ad esempio il primo chilometro a piedi, la bicicletta, il treno, il bus, il Pool&amp;Rail, il Bike&amp;Bus/Bike&amp;Ride, il</w:t>
      </w:r>
    </w:p>
    <w:p>
      <w:r>
        <w:t>"carpooling" , il</w:t>
      </w:r>
    </w:p>
    <w:p>
      <w:r>
        <w:t>"carsharing" , la navetta aziendale, ecc.) e promuove un ventaglio di misure sufficientemente ampio, di modo che si possano creare (aziende e dipendenti) combinazioni personalizzate (al riguardo richiama sia i Piani di mobilità aziendale di comparto sia i Programmi d'agglomerato di terza generazione). In questo contesto la tassa di collegamento ha una parte fondamentale nell'avvio del processo di cambiamento delle abitudini e va pertanto intesa come uno strumento fondamentale dell'azione politica cantonale la quale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lamenta la disattenzione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La ricorrente sostiene che la tassa di collegamento viola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È dubbio che la critica, non meglio sostanziata (art. 42 cpv. 2 e 106 cpv. 2 LTF), sia ammissibile. Il quesito può rimanere irrisolto dato che, per i motivi esposti di seguito, la stessa si rivela infondata.</w:t>
      </w:r>
    </w:p>
    <w:p>
      <w:r>
        <w:t>Il Consiglio di Stato da parte sua spiega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un'ulteriore disattenzione del principio dell'uguaglianza dell'imposizione nel fatto che, in applicazione dell'art. 35b cpv. 2 LTPub, i posti auto al servizio di abitazioni sono esclusi dall'assoggettamento. Afferma infatti che mentre i dipendenti danno luogo a due movimenti veicolari al giorno per posteggio, nelle abitazioni detti movimenti possono anche essere superiori.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sostiene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dato che questi proprietari non traggono alcun vantaggio o beneficio dal finanziamento del trasporto pubblico in quanto sui loro fondi o nelle immediate vicinanze non sorgono né sorgeranno delle fermate di bus o di altri mezzi di trasporti pubblici. Allo stesso modo nulla giustificherebbe di escludere dall'assoggettamento i fondi sui quali vi sono meno di 50 posteggi. Fa poi valere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22'950.-- nel caso in cui i posteggi siano destinati a visitatori, senza tralasciare che detta soglia non avrebbe alcun legame con le spese del trasporto pubblico che l'imposta querelata si prefigge di finanziare.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(fr. 18 milioni, cfr. ricorso pag. 7 e 18)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di posteggi (vedasi pag. 3 del ricorso ove sono indicati 447 posteggi) e non possono quindi beneficiare delle riduzioni previste dalla legge e per i quali l'onere contributivo risulta rilevante (da fr. 276'630.-- a fr. 563'220.-- annui). Senza dimenticare che appare complicato se non impossibile per lei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in fine)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6.1</w:t>
      </w:r>
    </w:p>
    <w:p>
      <w:r>
        <w:t>La ricorrente intravede arbitrio nel fatto che, in applicazione delle norme comunali di attuazione del Piano Regolatore (NAPR) i Comuni prelevano un contributo sostitutivo (assai consistente, pari al 25 % del costo di costruzione di un parcheggio) quando i proprietari che edificano i loro fondi non realizzano la quantità minima di posteggi stabilita da dette norme. In altre parole chi è assoggettato alla tassa di collegamento (siccome possiede 50 posteggi e più) potrebbe essere impedito di ridurre il numero dei suoi parcheggi se non previo pagamento di un ulteriore aggravio finanziario (ossia il contributo sostitutivo).</w:t>
      </w:r>
    </w:p>
    <w:p>
      <w:r>
        <w:rPr>
          <w:b/>
        </w:rPr>
        <w:t>E. 6.2</w:t>
      </w:r>
    </w:p>
    <w:p>
      <w:r>
        <w:t>Da parte sua, il Consiglio di Stato rileva in primo luogo che il numero dei posteggi necessari da realizzare sui fondi privati (eccettuati quelli al servizio dell'abitazione) viene determinato dal Regolamento cantonale posteggi privati (vedasi art. 42-43 LST nonché art. 51 a 62 RLst), il quale ha abrogato e rese inapplicabili tutte le norme comunali di attuazione del Piano Regolatore (NAPR) relative alla quantificazione del numero di detti posteggi, salvo eventuali disposizioni più restrittive (art. 43 cpv. 2 LST). Rammentato che l'applicazione del Regolamento cantonale posteggi privati compete alla Sezione della mobilità (art. 3 RLst), il Consiglio di Stato sottolinea che i Comuni non hanno competenza in materia e non possono stabilire un fabbisogno maggiore (né esigere un contributo sostitutivo in base al medesimo) rispetto a quello definito in maniera restrittiva in applicazione di detto regolamento (art. 51 RLst), il quale determina il numero dei posteggi necessari (cioè il numero minimo di posteggi di cui occorre disporre quanto quello massimo realizzabile, cfr. art. 52 cpv. 3 RLst) riducendo il fabbisogno massimo di riferimento (art. 53-56 RLst) in funzione della qualità del servizio di trasporto pubblico (art. 59-60 RLst, il cui capoverso 4 permette di applicare valori ancora più restrittivi, in combinazione con un piano di mobilità per gli spostamenti generati dai contenuti della costruzione) o di situazioni particolari (art. 61 RLst) oppure mediante la valutazione del singolo caso (art. 61a RLst). Il contributo sostituivo comunale può essere chiesto invece per i posteggi mancanti rispetto al numero di quelli necessari in base al Regolamento posteggi privati (riservate norme comunali ancora più restrittive, cfr. art. 43 cpv. 2 LST).</w:t>
      </w:r>
    </w:p>
    <w:p>
      <w:r>
        <w:t>Premesse queste considerazioni, e rammentato che non possono essere emanate norme comunali che violano sia il senso sia lo spirito del diritto cantonale e ne pregiudicano la realizzazione, ne discende che l'arbitrio lamentato dalla ricorrente non è quindi dato.</w:t>
      </w:r>
    </w:p>
    <w:p>
      <w:r>
        <w:rPr>
          <w:b/>
        </w:rPr>
        <w:t>E. 6.3</w:t>
      </w:r>
    </w:p>
    <w:p>
      <w:r>
        <w:t>A parere della ricorrente la data d'entrata in vigore delle modifiche contestate, decisa dal Consiglio di Stato su delega del Gran Consiglio e fissata al 1° agosto 2016 sia per quanto concerne la legge che il nuovo regolamento, è inficiata d'arbitrio. La stessa non consente al contribuente ivi assoggettato, al quale non è stato concesso il tempo necessario a tale fine, di adeguarsi alle nuove disposizioni, di studiare la propria situazione finanziaria alla luce del nuovo carico fiscale fortemente aumentato o, infine, di adottare tutte le misure necessarie. Senza omettere le numerose difficoltà attinenti al diritto della locazione.</w:t>
      </w:r>
    </w:p>
    <w:p>
      <w:r>
        <w:t>La censura non va esaminata, poiché diventata priva d'oggetto. Anche se effettivamente il lasso di tempo inizialmente previsto tra la pubblicazione delle modifiche della LTPub e del RTColl e la loroentrata in vigore era breve, al procedimento è stato concesso l'effetto sospensivo (cfr. consid. 9.2). Ora, considerato il tempo trascorso, non può più adesso essere sostenuto che non vi sia stato tempo a sufficienza per adottare i necessari provvedimenti (dismissione e/o collocazione fuori esercizio dei posteggi; installazione di sistemi di controllo quali barriere, parchimetri, ecc.; risoluzione dei problemi attinenti al diritto della locazione e del lavoro). Anche su questo punto, il ricorso va respinto.</w:t>
      </w:r>
    </w:p>
    <w:p>
      <w:r>
        <w:rPr>
          <w:b/>
        </w:rPr>
        <w:t>E. 7.1</w:t>
      </w:r>
    </w:p>
    <w:p>
      <w:r>
        <w:t>La ricorrente fa poi valere la violazione della garanzia della proprietà tutelata dall' art. 26 Cost. Rileva che il tributo da pagare per un singolo posteggio, nel caso di un fondo con 100 posteggi utilizzati da dipendenti, attivi cinque giorni alla settimana, ammonta a fr. 70.-- mensili, allorché il canone di locazione per il medesimo posteggio da lei praticato è pari fr. 80.-- mensili. Essa non trarrà quindi più alcun reddito dalla locazione di posteggi, dato che deve ancora sopportare le spese di manutenzione. Si è pertanto di fronte ad un'ingerenza diretta ed inammissibile da parte dello Stato, che si appropria quasi interamente dei profitti generati dalla proprietà assoggettata alla tassa di collegamento.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Adduce che il tributo querelato, estremamente elevato, riduce la sua capacità concorrenziale sia da un profilo generale (rispetto a concorrenti esentati) sia, specificatamente nell'ambito del mercato della locazione di spazi commerciali, perché deve scegliere tra mantenere un contratto di locazione a canoni competitivi (con un guadagno tuttavia completamente assorbito dall'imposta) o aumentare fortemente il prezzo dei posteggi che non sarebbero allora più attrattivi.</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che l'impedisce di realizzare un beneficio conveniente. Per il resto le censure sollevate si confondono con quelle formulate riguardo alla violazione del principio dell'uguaglianza di trattamento, più particolarmente tra concorrenti diretti, che sono state giudicate infondate. Al riguardo si può rinviare a quanto detto in proposito (cfr.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Come appena illustrato 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