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754/2017 vom 12. September 2017</w:t>
      </w:r>
    </w:p>
    <w:p>
      <w:r>
        <w:t>Bundesgericht, 2017-09-12, DE</w:t>
      </w:r>
    </w:p>
    <w:p>
      <w:r>
        <w:rPr>
          <w:b/>
        </w:rPr>
        <w:t xml:space="preserve">Quelle: </w:t>
      </w:r>
      <w:r>
        <w:t>https://mcp.opencaselaw.ch/entscheid/bger_2C_754_2017</w:t>
      </w:r>
    </w:p>
    <w:p>
      <w:r>
        <w:t>FR: TF 2C 754/2017 du 12 septembre 2017</w:t>
      </w:r>
    </w:p>
    <w:p>
      <w:r>
        <w:t>IT: TF 2C 754/2017 del 12 settembre 2017</w:t>
      </w:r>
    </w:p>
    <w:p>
      <w:pPr>
        <w:pStyle w:val="Heading2"/>
      </w:pPr>
      <w:r>
        <w:t>Regeste</w:t>
      </w:r>
    </w:p>
    <w:p>
      <w:r>
        <w:t>Verrechnungssteuer (Erhebungsverfahren, Dividenden 2011 und 2013) | Öffentliche Finanzen &amp; Abgaberecht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den Parteien und dem Bundesverwaltungsgericht, Abteilung I, schriftlich mitgeteilt. Lausanne, 12. September 2017 Im Namen der II. öffentlich-rechtlichen Abteilung des Schweizerischen Bundesgerichts Der Präsident: Seiler Der Gerichtsschreiber: Klopfenstein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