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2C_754/2016 vom 25. März 2020</w:t>
      </w:r>
    </w:p>
    <w:p>
      <w:r>
        <w:t>Bundesgericht, 2020-03-25, IT</w:t>
      </w:r>
    </w:p>
    <w:p>
      <w:r>
        <w:rPr>
          <w:b/>
        </w:rPr>
        <w:t xml:space="preserve">Quelle: </w:t>
      </w:r>
      <w:r>
        <w:t>https://mcp.opencaselaw.ch/entscheid/bger_2C_754_2016</w:t>
      </w:r>
    </w:p>
    <w:p>
      <w:r>
        <w:t>FR: TF 2C_754/2016 du 25 mars 2020</w:t>
      </w:r>
    </w:p>
    <w:p>
      <w:r>
        <w:t>IT: TF 2C_754/2016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t>Il ricorso e la replica adempiono solo in parte alle condizioni di motivazione esposte. Nella misura in cui non le rispettano sono pertanto inammissibili.</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rPr>
          <w:b/>
        </w:rPr>
        <w:t>E. 1.6.1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1.6.2</w:t>
      </w:r>
    </w:p>
    <w:p>
      <w:r>
        <w:t>Secondo la ricorrente quale proprietaria di un fondo sul quale si trovano 117 posteggi per autovetture in parte utilizzati dai propri dipendenti in parte utilizzati dai dipendenti e/o clienti delle imprese alle quali sono locati, essa fa parte della cerchia dei soggetti giuridici qualificabili quali debitori della controversa tassa di collegamento (art. 35b e 35c LTPub combinati con l'art. 3 RTColl). Osserva in seguito che l'ammontare dell'onere contributivo (supplementare) a suo carico, generato dall'introduzione della tassa di collegamento contestata, può essere indicativamente quantificato in fr. 70'000.-- annui. Premesse queste considerazioni, non è quindi per nulla inverosimile che la ricorrente venga confrontata con l'applicazione della tassa ora contestata. La sua legittimazione ad agire va pertanto di principio ammessa.</w:t>
      </w:r>
    </w:p>
    <w:p>
      <w:r>
        <w:rPr>
          <w:b/>
        </w:rPr>
        <w:t>E. 1.6.3</w:t>
      </w:r>
    </w:p>
    <w:p>
      <w:r>
        <w:t>Nella propria risposta del 4 ottobre 2016 il Consiglio di Stato domanda di negare alla ricorrente la legittimazione ad impugnare i modificati art. 11 cpv. 1 e 30 cpv. 3 e 4 LTPub. Secondo il Governo ticinese, il quale ipotizza che l'interessata è incorsa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 La ricorrente non si è espressa sull'argomento e rinvia al proprio ricorso, ove essa si limita però a chiedere l'annullamento rispettivamente la modifica dei disposti in questione. Non occorre indagare oltre.</w:t>
      </w:r>
    </w:p>
    <w:p>
      <w:r>
        <w:rPr>
          <w:b/>
        </w:rPr>
        <w:t>E. 1.6.4</w:t>
      </w:r>
    </w:p>
    <w:p>
      <w:r>
        <w:t>Come emerge dal Messaggio del 4 novembre 2015, la modifica degli art. 11 cpv. 1 e 30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la qui ricorrente. Al riguardo le va pertanto negato la legittimazione ad impugnarle e, su questo punto, il ricorso si rivela inammissibile.</w:t>
      </w:r>
    </w:p>
    <w:p>
      <w:r>
        <w:rPr>
          <w:b/>
        </w:rPr>
        <w:t>E. 2.1</w:t>
      </w:r>
    </w:p>
    <w:p>
      <w:r>
        <w:t>Riassunto l'iter legislativo che ha preceduto l'adozione dei nuovi art. 35a-35t LTPub nonché degli art. 1 a 13 RTColl, la ricorrente osserva che, benché concepita come un tributo causale, si è in realtà in presenza di un'imposta, servendo la tassa di collegamento contestata alla copertura dei bisogni finanziari dello Stato. Essa spiega in seguito perché, a suo avviso, la stessa non è assimilabile ad un'imposta d'orientamento (i soggetti [proprietari di fondi su cui vi sono più di 50 posteggi] astretti al pagamento non sono quelli [utenti] di cui si vuole modificare il comportamento; assenza dell'obbligo di ribaltare la tassa sugli utenti; l'obiettivo è unicamente fiscale e non orientativo; impossibilità di scegliere un comportamento conforme agli obiettivi ricercati siccome la qualità del servizio pubblico è per lo più scarsa e insufficiente) né di un'imposta di attribuzione dei costi visto che i relativi presupposti non sono dati (mancanza dei motivi oggettivi e sostenibili che permettono di addossare ai proprietari di fondi muniti di posteggi parte delle spese per il finanziamento del trasporto pubblico; inesistenza del rapporto particolarmente stretto tra queste spese e i contribuenti assoggettati; questi ultimi non approfittano, rispetto al resto della collettività, più intensamente della rete dei trasporti pubblici e non causano in maniera preponderante le spese ivi connesse; impossibilità di verificare quali sono le voci di spese [cioè come sono composte] che si vogliono ribaltare sui privati).</w:t>
      </w:r>
    </w:p>
    <w:p>
      <w:r>
        <w:rPr>
          <w:b/>
        </w:rPr>
        <w:t>E. 2.2</w:t>
      </w:r>
    </w:p>
    <w:p>
      <w:r>
        <w:t>Esposti brevemente i motivi che hanno portato, tra l'altro, all'adozione della tassa di collegamento, ossia la volontà -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 il</w:t>
      </w:r>
    </w:p>
    <w:p>
      <w:r>
        <w:t>"carpooling" , ecc.; riduzione dei posteggi privati ed eliminazione di quelli abusivi; riduzione della disponibilità e dell'attrattiva dei posteggi mediante il prelievo della tassa di collegamento) -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w:t>
      </w:r>
    </w:p>
    <w:p>
      <w:r>
        <w:t>"Kostenanlastungssteuer"; "impôt d'attribution des coûts" ), come emergerebbe dal raffronto con varie sentenze di questa Corte, e ritiene adempiuti i criteri esatti affinché venga attuata. Da un lato mette in avanti il vantaggio maggiore rispetto alla collettività risultante, per gli assoggettati, dallo sviluppo e il potenziamento dei trasporti pubblici. Al riguardo richiama quanto già attuato negli ultimi anni (il sistema ferroviario regionale Ticino-Lombardia [TILO]; il sistema S-Bahn tra Biasca, Bellinzona, Locarno, Lugano, Mendrisio, Chiasso, Como e Stabio, con nuove fermate presso le zone con importanti generatori di traffico; la frequenza portata ad ogni 15 minuti di certe linee che servono l'area industriale di Bioggio ed Agno; il potenziamento del servizio su gomma per le principali zone industriali e commerciali), quanto prospettato (estensione del TILO; realizzazione della rete tram-treno del Luganese; potenziamento del servizio su gomma nelle zone con importanti generatori di traffico attorno agli agglomerati di Locarno e Lugano), nonché precisa che la capillarità della rete dei trasporti pubblici contribuisce in modo rilevante all'attrattiva della localizzazione. Osserva poi che detto vantaggio non dipende dal fatto che ne facciano un uso immediato e/o diretto e, infine, sottolinea che la mobilità e la raggiungibilità sono migliorate (elementi che hanno, in particolare per le aziende e per i commerci, un valore economico). Dall'altro rileva il particolare rapporto con i costi, essendo indubbio che i principali responsabili della situazione viaria satura esistente oggigiorno sono i proprietari dei fondi su cui si trovano i posteggi a disposizione dei pendolari e della clientela commerciale. Sui costi precisa che il provento della tassa è vincolato al finanziamento delle spese di gestione (chiaramente definite agli art. 23 cpv. 2 e 24 LTPub nonché nel Messaggio del 4 novembre 2015 punto 3) dell'offerta di trasporto pubblico, segnatamente un terzo degli oneri a carico del Cantone, dedotti i contributi della Confederazione, dei Comuni e di terzi (art. 35a e 35e cpv. 1 LTPub). Sottolinea che, in base alle previsioni per il quadriennio 2016-2019, l'onere a carico del Cantone per il trasporto pubblico aumenterà da fr. 55.2 a fr. 58.3 milioni all'anno, ragione per cui con la tassa di collegamento s'intende ottenere entrate annue di circa fr. 18 milioni (fr. 6 milioni con i posteggi commerciali e fr. 12 milioni con quelli destinati ai pendolari) e le tariffe giornaliere sono state fissate in conseguenza (art. 35e cpv. 1 LTPub e art. 7 RTColl).</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lamenta la disattenzione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dell'interesse pubblico e della proporzionalità (art. 5 cpv. 2 e 36 cpv. 3 Cost.), della garanzia della proprietà privata ( art. 26 Cost. ) e della libertà economica ( art. 27 e 94 Cost. ) nonché dell' art. 81a Cost.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 art. 8 Cost. )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La ricorrente sostiene che la tassa di collegamento viola sotto più aspetti il principio dell'uguaglianza dell'imposizione. In primo luogo contesta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È dubbio che la critica, non meglio sostanziata (art. 42 cpv. 2 e 106 cpv. 2 LTF), sia ammissibile. Il quesito può rimanere irrisolto dato che, per i motivi esposti di seguito, la stessa si rivela infondata.</w:t>
      </w:r>
    </w:p>
    <w:p>
      <w:r>
        <w:t>Il Consiglio di Stato da parte sua spiega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La ricorrente intravede in seguito un'ulteriore disattenzione del principio dell'uguaglianza dell'imposizione nel fatto che i posti auto al servizio di abitazioni sono esclusi dall'assoggettamento (art. 35b cpv. 2 LTPub). La censura, non meglio sostanziata, non adempie le esigenze di motivazione poste dai combinati art. 42 cpv. 2 e 106 cpv. 2 Cost. e sfugge pertanto ad un esame di merito. Ma quand'anche si volesse da ciò prescindere la stessa andrebbe comunque respinta. In effetti, come spiegato dal Consiglio di Stato nella propria risposta (pag. 27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nonché quelli dell'interesse pubblico e della proporzionalità (art. 5 cpv. 2 e 36 cpv. 3 Cost.), la ricorrente sostiene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dato che questi proprietari non traggono alcun vantaggio o beneficio dal finanziamento del trasporto pubblico, alla differenza di proprietari fondiari che posseggono un numero limitato di posteggi ma che nel contempo si trovano nei pressi di una fermata di bus o di altri mezzi di trasporti pubblici. Allo stesso modo nulla giustificherebbe di escludere dall'assoggettamento i fondi sui quali vi sono meno di 50 posteggi. Fa poi valere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53'550.-- nel caso in cui i posteggi siano destinati al personale durante sei giorni alla settimana (art. 35e cpv. 5 LTPub), senza tralasciare che detta soglia (di 50 posteggi) non avrebbe alcun legame con le spese del trasporto pubblico che l'imposta querelata si prefigge di finanziare. Infine, osserva che la possibilità di ribaltare il tributo contestato sugli utenti - oltre a non mutare la situazione giuridica in essere - è più che dubbia, considerate le difficoltà ivi legate; per i dipendenti si può unicamente procedere ad un aumento - già contestato - del canone di locazione e per la clientela occorre adottare, quando è attuabile, un sistema di controllo (barriere, casse di pagamento, ecc.) oneroso.</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(fr. 18 milioni, vedasi risposta del Consiglio di Stato del 4 ottobre 2016 pag. 42) grava solo una minoranza di proprietari fondiari, che possiede solo una parte limitata dei posteggi esistenti che generano traffico, mentre la maggior parte dei proprietari di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dispongono di centinaia o migliaia di posteggi, che non possono quindi beneficiare delle riduzioni previste dalla legge e per i quali l'onere contributivo risulta rilevante. Senza dimenticare che appare complicato, se non impossibile per la qui ricorrente, proprietaria di 117 posteggi,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w:t>
      </w:r>
    </w:p>
    <w:p>
      <w:r>
        <w:t>"montant exonéré en tant que tel" ). In effetti, l'adozione di un limite di esenzione comporta, quando questa soglia è superata, delle disparità tra i proprietari toccati, le quali possono rivelarsi anche importanti. Senza poi trascurare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la somma annua da versare è comunque cospicua, senza dimenticare che viene prelevata soltanto su una parte minima dei posteggi esistenti in Ticino.</w:t>
      </w:r>
    </w:p>
    <w:p>
      <w:r>
        <w:t>Il fatto poi che, come accennato dal Consiglio di Stato,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3.5.2 in fine)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6.1</w:t>
      </w:r>
    </w:p>
    <w:p>
      <w:r>
        <w:t>La ricorrente fa poi valere la violazione della garanzia della proprietà tutelata dall' art. 26 Cost. Rileva che il tributo da pagare per un singolo posteggio, nel caso di un fondo con 50 posteggi per i dipendenti, utilizzati sei rispettivamente cinque giorni alla settimana, ammonta a fr. 1'050.-- annui rispettivamente a fr. 875.-- annui, allorché i canoni di locazione praticati dalle FFS per posteggi ubicati nei pressi delle stazioni ferroviarie (e quindi in luoghi particolarmente centrali e privilegiati) sono pari a fr. 586.70 annui, cioè la metà, mentre essa stessa chiede fr. 711.70 annui. Ne discende che il singolo posteggio non sarà più un guadagno per il proprietario e locatore ma rappresenterà addirittura un costo; è dunque chiaro il carattere confiscatorio del tributo, siccome un proprietario, per conservare il suo guadagno, dovrà locare i posteggi ad almeno fr. 1'600/1'700.-- all'anno.</w:t>
      </w:r>
    </w:p>
    <w:p>
      <w:r>
        <w:rPr>
          <w:b/>
        </w:rPr>
        <w:t>E. 6.2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6.3</w:t>
      </w:r>
    </w:p>
    <w:p>
      <w:r>
        <w:t>Nel caso specifico la ricorrente non fornisce elementi o dati atti a provare che l'imposta querelata la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7.1</w:t>
      </w:r>
    </w:p>
    <w:p>
      <w:r>
        <w:t>La ricorrente fa valere in seguito una violazione del principio della libertà economica ( art. 27 e 94 Cost. ). Adduce che il tributo querelato, estremamente elevato, riduce la sua capacità concorrenziale sia da un profilo generale (rispetto a concorrenti esentati) sia perché l'ammontare della tassa, proibitivo (pari a fr. 70'000.-- annui) è tale da condizionare negativamente la sua attività economica (non potendolo aggiungere, per evidenti motivi di concorrenzialità, al prezzo del prodotto) e, di riflesso, a svantaggiarla nei confronti di altri concorrenti.</w:t>
      </w:r>
    </w:p>
    <w:p>
      <w:r>
        <w:rPr>
          <w:b/>
        </w:rPr>
        <w:t>E. 7.2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i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6), la ricorrente non fornisce alcun elemento che dimostri che la tassa di collegamento è proibitiva e che la impedisce di realizzare un beneficio conveniente. Per il resto le censure sollevate si confondono con quelle formulate riguardo alla violazione del principio dell'uguaglianza di trattamento, più particolarmente tra concorrenti diretti, che sono state giudicate infondate. Al riguardo si può rinviare a quanto detto in proposito (cfr. consid. 5.3.3). Anche su questo punto, il ricorso si rivela privo di pertinenza e va pertanto respinto.</w:t>
      </w:r>
    </w:p>
    <w:p>
      <w:r>
        <w:rPr>
          <w:b/>
        </w:rPr>
        <w:t>E. 8</w:t>
      </w:r>
    </w:p>
    <w:p>
      <w:r>
        <w:t>A parere della ricorrente la data d'entrata in vigore delle modifiche contestate, decisa dal Consiglio di Stato su delega del Gran Consiglio e fissata al 1° agosto 2016, sia per quanto concerne la legge che il nuovo regolamento, è inficiata d'arbitrio. La stessa non consente al contribuente ivi assoggettato, al quale non è stato concesso il tempo necessario per adeguarsi alle nuove disposizioni rispettivamente per adottare tutte le misure necessarie (ottenere le necessarie autorizzazioni edilizie per la posa delle barriere e/o acquisto delle casse automatiche; definire le tariffe adeguate, ecc.). Senza omettere le numerose difficoltà attinenti al diritto della locazione.</w:t>
      </w:r>
    </w:p>
    <w:p>
      <w:r>
        <w:t>La censura non va esaminata, poiché diventata priva d'oggetto. Anche se effettivamente il lasso di tempo inizialmente previsto tra la pubblicazione delle modifiche della LTPub e del RTColl e la loro entrata in vigore era breve, al procedimento è stato concesso l'effetto sospensivo (cfr. consid. 11.2). Ora, considerato il tempo trascorso, non può più essere sostenuto che non vi sia stato tempo a sufficienza per adottare i necessari provvedimenti (dismissione e/o collocazione fuori esercizio dei posteggi; installazione di sistemi di controllo quali barriere, parchimetri, ecc.; risoluzione dei problemi attinenti al diritto della locazione e del lavoro). Anche su questo punto, il ricorso va respinto.</w:t>
      </w:r>
    </w:p>
    <w:p>
      <w:r>
        <w:rPr>
          <w:b/>
        </w:rPr>
        <w:t>E. 9.1</w:t>
      </w:r>
    </w:p>
    <w:p>
      <w:r>
        <w:t>La ricorrente censura la disattenzione dell' art. 81a Cost. , il quale prevede (cpv. 2) che i costi dei trasporti pubblici sono coperti in misura adeguata dai prezzi pagati dagli utenti dei trasporti pubblici. Sennonché la tassa di collegamento contestata pone a carico dei proprietari di oltre 50 posteggi, non degli utenti, una parte considerevole dei citati costi. Osserva poi che il primo capoverso della norma in questione impone allo Stato di realizzare prima l'offerta del trasporto pubblico e di porne poi i costi a carico di chi ne trae maggiormente vantaggio. Ora, la LTPub mette a carico dei privati i costi in questione prima che il trasporto pubblico venga realizzato e offerto.</w:t>
      </w:r>
    </w:p>
    <w:p>
      <w:r>
        <w:rPr>
          <w:b/>
        </w:rPr>
        <w:t>E. 9.2</w:t>
      </w:r>
    </w:p>
    <w:p>
      <w:r>
        <w:t>La critica è inconferente. Come emerge dal Messaggio concernente l'iniziativa popolare «Per i trasporti pubblici» e il controprogetto diretto (Decreto federale concernente il finanziamento e l'ampliamento dell'infrastruttura ferroviaria, FAIF) del 18 gennaio 2012 (FF 2012 1283 e segg.), l' art. 81a Cost. , in vigore dal 1° gennaio 2016 (RU 2015 645), crea un mandato costituzionale per l'implementazione del sistema svizzero dei trasporti pubblici in tutte le sue forme (cpv. 1). Altrimenti detto questa disposizione affida alla Confederazione e ai Cantoni (la cui ripartizione di competenze non viene toccata) il mandato di promuovere l'obiettivo di garantire un'offerta sufficiente di trasporti pubblici. Si è in presenza di una norma costituzionale di natura programmatica, la quale non costituisce alcuna base per rivendicare diritti immediati su prestazioni di trasporto. In queste condizioni, contrariamente a quanto addotto dalla ricorrente, non vi è alcun obbligo di realizzare prima l'offerta di trasporti pubblici (FF 2012 1384 seg.; FELIX UHLMANN, St. Galler Kommentar BV, 3a ed. 2014, nota 19 all' art. 81a Cost. ; MARKUS KERN, in: Basler Kommentar BV, 2015, nota 2 all' art. 81a Cost. )</w:t>
      </w:r>
    </w:p>
    <w:p>
      <w:r>
        <w:t>Con riferimento al secondo capoverso, sempre dal citato Messaggio emerge che al fine di evitare che la mobilità sia troppo conveniente (e che la domanda cresca a dismisura causando, tra l'altro, costi d'investimento sempre maggiori) è stato posto l'accento sulla partecipazione degli utenti e dei beneficiari del sistema. Non si è invece voluto trasferire sugli stessi tutti i costi. Ne discende che contrariamente a quanto addotto dalla ricorrente, non incombe agli utenti coprire tutti i costi (FF 2012 1385; UHLMANN, op. cit., nota 21 in fine all' art. 81a Cost. ). In questo senso si può quindi condividere l'argomentazione del Consiglio di Stato, il quale rileva che la tassa di collegamento deve contribuire a finanziare le spese di gestione dell'offerta di trasporto pubblico ai sensi dell'art. 23 cpv. 2 LTPub, cioè i costi di produzione del servizio di trasporto pubblico non coperti con le entrate derivanti dalla vendita dei titoli di trasporto (biglietti e abbonamenti) e dagli introiti accessori (pubblicità).</w:t>
      </w:r>
    </w:p>
    <w:p>
      <w:r>
        <w:t>Anche su questi aspetti il ricorso si rivela infondato e, come tale, va respinto.</w:t>
      </w:r>
    </w:p>
    <w:p>
      <w:r>
        <w:rPr>
          <w:b/>
        </w:rPr>
        <w:t>E. 10.1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10.2</w:t>
      </w:r>
    </w:p>
    <w:p>
      <w:r>
        <w:t>Come appena illustrato 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Considerati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11</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