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2C_751/2016 vom 25. März 2020</w:t>
      </w:r>
    </w:p>
    <w:p>
      <w:r>
        <w:t>Bundesgericht, 2020-03-25, IT</w:t>
      </w:r>
    </w:p>
    <w:p>
      <w:r>
        <w:rPr>
          <w:b/>
        </w:rPr>
        <w:t xml:space="preserve">Quelle: </w:t>
      </w:r>
      <w:r>
        <w:t>https://mcp.opencaselaw.ch/entscheid/bger_2C_751_2016</w:t>
      </w:r>
    </w:p>
    <w:p>
      <w:r>
        <w:t>FR: TF 2C_751/2016 du 25 mars 2020</w:t>
      </w:r>
    </w:p>
    <w:p>
      <w:r>
        <w:t>IT: TF 2C_751/2016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La ricorrente chiede di dichiarare totalmente irricevibili le osservazioni presentate il 4 ottobre 2016 dal Consiglio di Stato rispettivamente di estrometterne le pagine da 1 a 40. Rimprovera al Consiglio di Stato di non esprimervisi sul merito del proprio gravame, contrariamente a quanto disposto dall' art. 102 cpv. 1 LTF .</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o di insieme di fondi sui quali sono presenti più di 50 posteggi per autovetture (più esattamente a sua disposizione ne ha 72), essa fa parte della cerchia dei soggetti giuridici qualificabili quali debitori della controversa tassa di collegamento (art. 35h combinato con l'art. 35b LTPub). Premesse queste considerazioni, non è quindi per nulla inverosimile che la ricorrente venga confrontata con l'applicazione della tassa ora contestata. La sua legittimazione ad agire va pertanto di principio ammessa, senza che occorre esaminare se dovrebbe anche essere ammessa per l'inquilino o il collaboratore, come fatto valere dalla qui ricorrente.</w:t>
      </w:r>
    </w:p>
    <w:p>
      <w:r>
        <w:rPr>
          <w:b/>
        </w:rPr>
        <w:t>E. 1.7.3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sua la ricorrente, che ammette che la censura contro l'art. 30 cpv. 3 e 4 LTPub può cadere, si limita ad affermare che le modifiche inerenti all'art. 11 cpv. 1 LTPub sono in relazione diretta con la tassa di collegamento, siccome viene soppresso l'obbligo del Consiglio di Stato di notificare l'offerta di trasporto non solo ai Comuni, bensì anche agli astretti al pagamento del tributo. Appare dubbio che una simile argomentazione sia sufficiente (vedasi DTF 142 V 395 consid. 3.1 pag. 397) a dimostrare che essa possa prevalersi perlomeno di un interesse virtuale. La questione non merita tuttavia ulteriori approfondimenti.</w:t>
      </w:r>
    </w:p>
    <w:p>
      <w:r>
        <w:rPr>
          <w:b/>
        </w:rPr>
        <w:t>E. 1.7.4</w:t>
      </w:r>
    </w:p>
    <w:p>
      <w:r>
        <w:t>Come emerge dal Messaggio del 4 novembre 2015, la modifica dell'art. 11 cpv. 1 LTPub è stata voluta poiché il disposto si riferiva in parte ancora alla versione dell'art. 35 LTPub precedente alla modifica del 17 dicembre 2014 (cfr. Messaggio del 4 novembre 2015 citato pag. 32). È quindi indubbio, come osservato dal Consiglio di Stato che, anche se collegata alla tassa litigiosa, questa norma concerne tuttavia unicamente i Comuni; è pertanto da escludere che possa, anche solo in modo virtuale, toccare un giorno la qui ricorrente. Al riguardo le va pertanto negato la legittimazione ad impugnarla e, su questo punto, il ricorso si rivela inammissibile.</w:t>
      </w:r>
    </w:p>
    <w:p>
      <w:r>
        <w:rPr>
          <w:b/>
        </w:rPr>
        <w:t>E. 2.1</w:t>
      </w:r>
    </w:p>
    <w:p>
      <w:r>
        <w:t>Dopo una breve presentazione dell'iter legislativo che ha preceduto l'adozione delle modifiche legislative oggetto di disamina, la ricorrente, la quale considera che si tratta di un'imposta a destinazione vincolata, spiega perché, a suo avviso, il tributo litigioso non è un'imposta di orientamento. In primo luogo perché quelli che devono versarlo (i proprietari dei fondi siti in determinati Comuni, sui quali sono situati 50 o più posteggi) non sono quelli di cui lo Stato vuole modificare il comportamento (gli automobilisti). Dopo, perché manca lo scopo orientativo (non essendovi alcun obbligo di ribaltare la tassa sugli utenti dei posteggi, operazione peraltro impossibile secondo lei, così come difetta una relazione diretta tra la tassa di collegamento e il carico di traffico stradale generato). Osserva poi che manca l'esigenza dell'elasticità della domanda, siccome non vi è la possibilità effettiva, per chi deve pagare il tributo, di potere scegliere tra un comportamento conforme allo scopo e agli obiettivi della legge (utilizzo dei trasporti pubblici) o no (utilizzazione dell'automobile privata). Oltre al fatto che, a suo avviso, l'imposta in questione provocherà in realtà un aumento del traffico parassitario (dovuto alla migrazione dai posteggi assoggettati a posteggi più piccoli e quindi esenti), la ricorrente afferma che, per la stragrande maggioranza della popolazione, i mezzi di trasporto pubblico, data la loro scarsa qualità (ad eccezione degli agglomerati), non costituiscono un'alternativa praticabile per il percorso da casa al lavoro e ritorno, il tempo di percorso venendo prolungato in modo eccessivo con i trasporti pubblici o non essendo realizzabile (per chi vive a Losone e lavora a Lugano, 2 ore e 20 minuti in più al giorno; per chi risiede ad esempio a Cevio, nelle ore lavorative vi è un bus ogni ora). Aggiunge inoltre che un'imposta d'orientamento non dovrebbe avere fini fiscali, ciò che non è il caso in concreto, il tributo litigioso dovendo coprire un terzo delle spese di gestione del trasporto pubblico. A parere della ricorrente si è in realtà in presenza di un'imposta di attribuzione dei costi che risulta tuttavia illecita, poiché disattende vari diritti e principi costituzionali (esposti e trattati di seguito). Violazioni riscontrate peraltro anche nell'ipotesi in cui si considera che si è in presenza di un'imposta di orientamento.</w:t>
      </w:r>
    </w:p>
    <w:p>
      <w:r>
        <w:rPr>
          <w:b/>
        </w:rPr>
        <w:t>E. 2.2</w:t>
      </w:r>
    </w:p>
    <w:p>
      <w:r>
        <w:t>Descritti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223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requisito della base legale formale esatto dall' art. 127 cpv. 1 Cost. In primo luogo afferma che la normativa litigiosa non contiene tutti gli elementi determinanti. Difetterebbe segnatamente il campo di applicazione territoriale, che stabilisce direttamente la cerchia dei contribuenti e, di riflesso, le esenzioni, il quale è disciplinato non dalla LTPub, bensì dal Regolamento della legge sullo sviluppo territoriale, nel suo Allegato 1. In secondo luogo, sostiene che nemmeno il calcolo dell'onere tributario figura nella legge formale. In effetti, l'art. 35e LTPub che disciplina la questione, non fornisce alcuna reale indicazione, siccome le forchette ivi previste al capoverso 1 lett. a e b non permettono di farsi un'idea concreta del tributo che realmente verrà esatto. In altre parole detto disposto non consente di prevedere con sufficiente sicurezza l'onere fiscale posto a carico del contribuente.</w:t>
      </w:r>
    </w:p>
    <w:p>
      <w:r>
        <w:t>Da parte sua il Consiglio di Stato considera invece che nella legge (in senso formale) querelata figurano tutti gli elementi richiesti, cioè la cerchia dei contribuenti (art. 35b e 35c LTPub), le esenzioni (art. 35d LTPub) nonché i criteri per determinare l'ammontare della tassa e il suo calcolo (art. 35e e 35f LTPub). Gli affinamenti necessari all'attuazione della legge vengono invece adottati dal Consiglio di Stato, mediante regolamento.</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4.2 pag. 232 seg.;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t>Per quanto riguarda le critiche concernenti la determinazione dell'onere tributario, il Consiglio di Stato osserva che lo stesso non è definito e limitato solo dalle forchette figuranti all'art. 35e cpv. 1 lett. a e b LTPub, ma anche dalla prima frase del medesimo capoverso, secondo cui l'imposta deve coprire di principio un terzo delle spese di gestione, nozione quest'ultima chiaramente definita dalla legge, segnatamente dagli art. 23 cpv. 2 e 24 LTPub (aspetti peraltro, osserva il Governo, dettagliatamente spiegati nel Messaggio del 4 novembre 2015, punto 3). Altrimenti detto la combinazione di questi elementi (forchette e principio di copertura di un terzo delle spese di gestione) definiscono in modo chiaro i criteri per il calcolo dell'imposizione - cui è peraltro posto un tetto massimo - e costituiscono una sufficiente base legale. Dalle spiegazioni fornite dal Consiglio di Stato discende che, contrariamente all'assunto della ricorrente, nella LTPub figurano gli elementi essenziali richiesti dalla prassi, necessari per determinare l'imponibile e il modo di calcolarlo. Anche su questo punto il ricorso, infondato, dev'essere respinto.</w:t>
      </w:r>
    </w:p>
    <w:p>
      <w:r>
        <w:rPr>
          <w:b/>
        </w:rPr>
        <w:t>E. 3.4.5</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3.4.6</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3.5</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del principio della proporzionalità e della buona fede ( art. 5 Cost. ), dell'uguaglianza giuridica ( art. 8 Cost. ), del divieto dell'arbitrio ( art. 9 Cost. ), della parità di trattamento tra concorrenti diretti ( art. 27, 36 e 94 Cost. ), della garanzia della proprietà privata ( art. 26 e 36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che così come è stata concepita la tassa di collegamento querelata viola in maniera lampante e sotto più aspetti i principi di cui all' art. 127 cpv. 2 Cost. Essa critica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pubblicata in linea dal Dipartimento del territorio del Cantone Ticino ove i Comuni interessati sono evidenziati, la ricorrente afferma che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per i Comuni di Castel San Pietro, Chiasso, Mendrisio, Bioggio, Collina d'Oro, Lugano, Monteceneri e Gambarogno solo una parte del territorio comunale è assoggettata al tributo litigioso (ricorso pag. 23 nota n. 45 a piè di pagina). Ora, non è dato da vedere in che il traffico veicolare individuale generato da questi parcheggi sia differente. Il criterio della definizione territoriale è quindi arbitrario.</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la legge assoggetta al contributo alcune tipologie di posteggio, mentre ne esenta altre. Segnatamente vengono esentati i posti auto destinati esclusivamente al servizio di abitazioni (art. 35b cpv. 2 in fine LTPub) nonché, giusta l'art. 6 RTColl, quelli legati ad attività alberghiere e di ristorazione, ad attività di svago e culturali, i luoghi di culto, i visitatori di strutture sociosanitarie, i posteggi pubblici ivi definiti, i posteggi di interscambio (Park &amp; Ride) e quelli di attestamento definiti dal piano direttore. Ora, a parere della ricorrente, non si ravvisano motivi per operare questa differenziazione, siccome detti posteggi non sono in una relazione diversa con le spese derivanti dal trasporto pubblico né generano meno traffico motorizzato privato. Anzi, la scheda R8 del Piano direttore cantonale considera esplicitamente come "grande generatore di traffico" tra l'altro le attrezzature di svago intensive o i cinema multisala - invece esentati - perché generano maggiori influssi di traffico motorizzato. Per questi motivi ritiene che la definizione della tipologia di posteggi assoggettati è totalmente arbitraria e configura una palese ed insanabile violazione del principio dell'uniformità dell'imposizione.</w:t>
      </w:r>
    </w:p>
    <w:p>
      <w:r>
        <w:t>Come spiegato dal Consiglio di Stato nella propria risposta (pag. 27 punto b) cc), i posteggi al servizio dell'abitazione (art. 35b cpv. 2 in fine LTPub)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Per quanto riguarda invece l'esenzione dei posteggi legati alle attività alberghiere e di ristorazione, dei luoghi di culto, delle attività di svago e culturali e dei visitatori delle strutture sociosanitarie, il Consiglio di Stato osserva (risposta del 4 ottobre 2016 pag. 45) che la stessa si giustifica perché il loro apporto alla situazione di saturazione nei punti sensibili della rete viaria nelle ore di punta appare marginale. Quanto ai posteggi pubblici gli stessi svolgono una funzione strategica per la gestione della mobilità e sono specificatamente previsti nel piano regolatore, dopo un'attenta quantificazione del fabbisogno e della loro coerenza con la politica di stazionamento e la sopportabilità della rete viaria circostante. Senza dimenticare che l'esenzione si limita ai posti auto non riservati o concessi in abbonamenti a chi si sposta sistematicamente (pendolari). Infine, i posteggi di interscambio (Park &amp; Ride) e di attestamento sono esentati perché direttamente al servizio di forme di mobilità più sostenibili e, quindi, volte alla riduzione del traffico veicolare. Queste spiegazioni fanno apparire del tutto accettabile la differenziazione attuata, fondata su criteri sostenibili, dato che come appena illustrato le diverse categorie di posteggi esentati non fanno parte della problematica della saturazione della rete viaria all'ora di punta. Non vi è pertanto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adduce in seguito che la scelta di vincolare la nascita dell'obbligo contributivo alla presenza di un numero determinato di posteggi, cioè 50 unità, è del tutto arbitraria poiché non ha nulla a che vedere con la reale imputabilità dei costi o il particolare rapporto di beneficio derivante dalle spese sostenute dall'ente pubblico rispettivamente non ha nulla a che vedere con l'effettivo volume di traffico privato generato. In effetti, con riferimento a questi aspetti, non è sostenibile affermare che la situazione di chi possiede 10, 25, 49, 50 o 100 posteggi è diversa. Anzi, al contrario, il limite previsto contrasterebbe clamorosamente con l'unico criterio oggettivo al quale il legislatore avrebbe potuto riferirsi, ossia la definizione di "grande generatore di traffico" contenuta nella scheda R8 del Piano direttore cantonale, che vi assoggetta le infrastrutture che generano oltre 1'000 movimenti veicolari quotidiani, ciò che non è il caso di un'azienda con 50 posteggi a disposizione dei suoi dipendenti che generano un massimo di 200 movimenti al giorno. Il criticato limite darebbe poi luogo ad un'ingiustificata disparità di trattamento siccome passando da 49 a 50 posteggi l'onere contributivo passa da fr. 0.-- a fr. 53'550.-- annui di media (fr. 3.50 al giorno x 50 posteggi x 360 giorni - 15 % [art. 35e cpv. 1, 3 e 5 LTPub]), senza tralasciare che la legge (art. 35e LTPub) non commisura l'imposta alla capacità contributiva dell'assoggettato (a uguaglianza di posteggi imponibili, il medesimo importo verrà esatto dal proprietario che realizza utili miliardari da quello che fa fatica a sopravvivere rispettivamente dal dipendente con funzioni dirigenziali e dall'operaio, anche se i loro redditi non sono equiparabili) così come non prevede alcuna franchigia. Non deve nemmeno essere negletto che vengono messi a carico di un gruppo limitato di contribuenti (i proprietari di 50 posteggi e più) i costi di un servizio pubblico del quale essi non beneficiano maggiormente (o addirittura per niente) rispetto al resto della popolazione e che peraltro non sono da loro generati.</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grava solo una minoranza di proprietari fondiari, ossia 200 di loro,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dispongono di centinaia o migliaia di posteggi e per i quali l'onere contributivo risulta rilevante. Ad esempio chi dispone di 150 posti auto (e non può quindi beneficiare delle riduzioni previste dalla legge) dovrà pagare un importo pari a circa fr. 131'250.-- annui (fr. 3.50 x 250 giorni x 150 posteggi). Senza dimenticare che appare complicato se non impossibile in tal caso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3.4.6)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attuare le complesse e costose disposizioni necessarie per limitare il numero dei posteggi assoggettati.</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Rileva che l'importo annuo da pagare nel caso di un fondo con 100 posteggi per dipendenti al servizio di un'attività economica in esercizio sei giorni alla settimana, cioè fr. 1'050.-- annui per ogni singolo posteggio equivale a quasi due o tre volte la pigione usualmente percepita sui posteggi in zone industriali e/o artigianali e/o commerciali in Ticino (la tariffa FFS chiede dai fr. 30.-- ai fr. 50.-- al mese per un posteggio all'aperto). Il proprietario non trarrà quindi più alcun reddito dalla locazione di posteggi, dovendo forse addirittura intaccare la propria sostanza privata per far fronte al nuovo onere contributivo e nell'ipotesi in cui riuscisse ad affittare i suoi posteggi a questo prezzo astronomico, non guadagnerebbe comunque nulla dovendo pagare la tassa di collegamento contestata più i costi usuali (oneri finanziari, di manutenzione, di gestione, ecc.). La tassa contestata ravvisa quindi le caratteristiche di un'imposta confiscatoria.</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cifre atte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segnatamente dal profilo della parità di trattamento tra concorrenti diretti. Ribadito che l'imposta querelata colpisce alcuni attori economici esentandone altri, che tratta in modo diametralmente opposto questi ultimi a dipendenza del Comune o, addirittura, del quartiere del Comune di situazione e che instaura disparità di trattamento tra chi dispone di un numero di posteggi computabili compreso tra 1 e 49 e chi ne ha più di 50, ne deduce un'ingiustificata distorsione del libero mercato e un'inaccettabile influenza tra i diversi attori economici. Ciò si verificherebbe particolarmente per i proprietari di posteggi attivi nel settore della locazione dei medesimi i quali dovranno maggiorare i loro prezzi dal 50 % al 200 % (rispetto a concorrenti non assoggettati) per poter continuare a conseguire il medesimo reddito.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per quanto la concerne,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La ricorrente, facendo valere che, a seguito dell'imprevedibile modifica delle norme legali, è pregiudicata rispetto a disposizioni prese in conformità alle regole precedentemente applicabili (realizzazione di parcheggi sulla base di valide licenze edilizie), sostiene che le modifiche legislative contestate esplicherebbero un effetto retroattivo improprio, il quale violerebbe palesemente i suoi diritti acquisiti. In primo luogo perché i posteggi vengono gravati da nuovi pesanti ed imprevedibili oneri fiscali confiscatori, che influiscono sul loro valore e sulla possibilità di trarne reddito. In seguito perché non è sufficiente non utilizzare il posteggio per non dovere pagare il tributo, ma bisogna dismetterlo formalmente e materialmente (art. 35f LTPub) e, quindi, rinunciare alla licenza edilizia legittimamente ottenuta. Considerata l'evidente violazione del principio della buona fede, in particolare dal profilo della protezione della fiducia e del divieto di un comportamento contraddittorio ( art. 5 cpv. 3 e 9 Cost. ) che ne scaturisce come anche il fatto che non ha la possibilità di adeguarsi rapidamente (l'entrata in vigore essendo stata prevista poco più di un mese dopo la pubblicazione delle modifiche contestate), la ricorrente afferma che occorrerebbe prevedere adeguate norme transitorie, che limitano esplicitamente l'applicabilità delle nuove disposizioni ai posteggi abusivi e a quelli di nuova realizzazione. Nella denegata ipotesi in cui la modifica legislativa dovesse applicarsi anche ai parcheggi autorizzati con licenza edilizia cresciuta in giudicato il 14 dicembre 2015, domanda allora che venga concesso il tempo necessario per attuare le opportune misure per gestire e limitare gli effetti del nuovo tributo (dismissione in conformità all'art. 35f LTPub di eventuali posteggi in esubero rispettivamente installazione di sistemi di controllo degli accessi [barriere, casse di pagamento, ecc.] al fine di trasferire la tassa sugli utenti), concretamente che l'applicabilità della normativa sia differita di almeno un anno dall'entrata in vigore della legge.</w:t>
      </w:r>
    </w:p>
    <w:p>
      <w:r>
        <w:rPr>
          <w:b/>
        </w:rPr>
        <w:t>E. 9.2</w:t>
      </w:r>
    </w:p>
    <w:p>
      <w:r>
        <w:t>Secondo la giurisprudenza, vi è retroattività in senso stretto quando un nuovo regime legale viene applicato a fatti accaduti nel passato e completamente conclusi al momento dell'entrata in vigore del nuovo diritto. Una tale retroattività (propria) è di principio vietata, a meno che ricorrano presupposti del tutto particolari ( DTF 126 V 134 consid. 4a pag. 135 e riferimenti). Da ciò va distinta la retroattività in senso improprio, ovvero l'applicazione del nuovo diritto a situazioni che hanno avuto origine sotto la pregressa normativa, ma perdurano ancora dopo la modifica legislativa. Dal profilo costituzionale, questo secondo tipo di retroattività è di massima ammissibile, se non va ad intaccare dei diritti acquisiti o contrasta con il principio della buona fede ( DTF 133 II 97 consid. 4.1 pag. 101 seg. e richiami).</w:t>
      </w:r>
    </w:p>
    <w:p>
      <w:r>
        <w:t>La nuova normativa è applicabile a tutti i posteggi, quelli abusivi (cfr. art. 35g cpv. 1 LTPub), quelli ancora da costruire (cfr. art. 35f cpv. 5 LTPub) nonché quelli realizzati in conformità alla legge, ciò che costituisce semmai un caso di retroattività impropria, di principio ammissibile. La ricorrente non lo contesta ma ne deduce una violazione del principio della buona fede. L'invocato principio, sancito dall' art. 9 Cost. , non impedisce tuttavia una modifica delle leggi e nemmeno che ciò avvenga in ogni tempo, come impone di per sé la nozione stessa di democrazia ( DTF 130 I 26 consid. 8.1 pag. 60). Una violazione del diritto alla protezione della buona fede è pertanto data soltanto quando il legislatore ha assicurato nella legge che la stessa non sarebbe stata modificata o sarebbe stata mantenuta immutata per un certo periodo, fondando in tal modo un diritto acquisito ( DTF 145 II 140 consid. 4 pag. 145; 130 I 26 consid. 8.1 pag. 60; 128 II 112 consid. 10b/aa pag. 125 seg. e rinvii). Questi estremi non ricorrono nella fattispecie.</w:t>
      </w:r>
    </w:p>
    <w:p>
      <w:r>
        <w:t>La richiesta di prevedere, mediante una norma transitoria, che le norme contestate si applicano unicamente ai posteggi abusivi e a quelli da realizzare si appalesa, per i motivi appena esposti, priva di pertinenza e va quindi respinta.</w:t>
      </w:r>
    </w:p>
    <w:p>
      <w:r>
        <w:rPr>
          <w:b/>
        </w:rPr>
        <w:t>E. 9.3</w:t>
      </w:r>
    </w:p>
    <w:p>
      <w:r>
        <w:t>Come già illustrato in precedenza (cfr. consid. 7.3), la tassa di collegamento non ha effetti confiscatori e non intacca pertanto da questo profilo i diritti acquisiti della ricorrente. Il Consiglio di Stato spiega poi (risposta del 4 ottobre 2016 pag. 46 seg.) che, contrariamente a quanto asserito, non si deve necessariamente rinunciare ad una licenza edilizia per non pagare l'imposta. In effetti, la legge prevede due distinte situazioni, la collocazione fuori servizio dei posteggi e la loro dismissione (cfr. art. 35f LTPub). Nel primo caso viene solo inibito l'uso del posteggio (e il proprietario può quindi decidere, in ogni momento, di riutilizzarlo), che non viene conteggiato ai fini del calcolo dell'imposta, ma viene considerato ai fini dell'assoggettamento, senza possibili bonus. Nel secondo caso, vi è una rinuncia definitiva alla licenza edilizia e il posteggio non è conteggiato né ai fini dell'assoggettamento né per il calcolo dell'imposta ed entrano in considerazione dei bonus. Anche al riguardo non si può quindi considerare che dei diritti acquisiti sono stati lesi. La censura, infondata, va respinta. Aggiungasi che il principio della buona fede non consente di opporsi a un cambiamento di regolamentazione o di sottrarsi all'applicazione del nuovo diritto per il fatto di avere semplicemente preso determinate disposizioni sulla base del diritto anteriore ( DTF 122 V 405 consid. 3b/bb pag. 408 e rinvii). Come rilevato dal Consiglio di Stato, il rilascio di una licenza edilizia non esclude di principio che l'impianto e/o la costruzione oggetto della medesima sia poi assoggettato/a ad un'imposta.</w:t>
      </w:r>
    </w:p>
    <w:p>
      <w:r>
        <w:rPr>
          <w:b/>
        </w:rPr>
        <w:t>E. 9.4</w:t>
      </w:r>
    </w:p>
    <w:p>
      <w:r>
        <w:t>Riguardo alla richiesta di differire di un anno l'applicabilità delle nuove norme dalla loro entrata in vigore, va rammentato che l'interesse pubblico impone di massima che una modifica legislativa entri in vigore senza ritardi e, al riguardo, il legislatore beneficia di un ampio margine di apprezzamento: la giurisprudenza dà quindi prova di riserbo nel giudicare incostituzionale l'assenza di disposizioni transitorie ( DTF 122 V 405 consid. 3b/bb pag. 408 e riferimenti). Nel caso specifico, anche se il lasso di tempo inizialmente previsto tra la pubblicazione della LTPub e del RTColl e la loro entrata in vigore era breve, la questione non è più di attualità. In effetti, è stato concesso l'effetto sospensivo al procedimento (cfr. consid. 10.2) e, considerato il tempo trascorso da allora, non può più adesso essere sostenuto che non vi sia stato tempo a sufficienza per adottare i necessari provvedimenti. Anche su questo punto, il ricorso va respinto.</w:t>
      </w:r>
    </w:p>
    <w:p>
      <w:r>
        <w:rPr>
          <w:b/>
        </w:rPr>
        <w:t>E. 10.1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10.2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11</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