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750/2021 vom 22. September 2021</w:t>
      </w:r>
    </w:p>
    <w:p>
      <w:r>
        <w:t>Bundesgericht, 2021-09-22, FR</w:t>
      </w:r>
    </w:p>
    <w:p>
      <w:r>
        <w:rPr>
          <w:b/>
        </w:rPr>
        <w:t xml:space="preserve">Quelle: </w:t>
      </w:r>
      <w:r>
        <w:t>https://mcp.opencaselaw.ch/entscheid/bger_2C_750_2021</w:t>
      </w:r>
    </w:p>
    <w:p>
      <w:r>
        <w:t>FR: TF 2C 750/2021 du 22 septembre 2021</w:t>
      </w:r>
    </w:p>
    <w:p>
      <w:r>
        <w:t>IT: TF 2C 750/2021 del 22 settembre 2021</w:t>
      </w:r>
    </w:p>
    <w:p>
      <w:pPr>
        <w:pStyle w:val="Heading2"/>
      </w:pPr>
      <w:r>
        <w:t>Regeste</w:t>
      </w:r>
    </w:p>
    <w:p>
      <w:r>
        <w:t>Révision, retrait de l'autorisation de pratiquer dans le canton en tant que médecin, spécialiste en chirurgie, avec demande d'annulation d'une expertise | Droit fondamental</w:t>
      </w:r>
    </w:p>
    <w:p>
      <w:pPr>
        <w:pStyle w:val="Heading2"/>
      </w:pPr>
      <w:r>
        <w:t>Erwägungen</w:t>
      </w:r>
    </w:p>
    <w:p>
      <w:r>
        <w:rPr>
          <w:b/>
        </w:rPr>
        <w:t>E. 1</w:t>
      </w:r>
    </w:p>
    <w:p>
      <w:r>
        <w:t>Par décision du 17 décembre 2018, le Département des finances et de la santé du canton de Neuchâtel a retiré à A.________ l'autorisation de pratiquer la médecine sous sa propre responsabilité professionnelle. Cette décision a été confirmée par arrêt du Tribunal cantonal du canton de Neuchâtel du 15 février 2019, qui n'a pas fait l'objet d'un recours auprès du Tribunal fédéral. Par arrêt du 3 septembre 2021, le Tribunal cantonal du canton de Neuchâtel a déclaré irrecevable le recours du 21 avril 2021 que l'intéressé avait déposé contre l'arrêt rendu le 15 février 2019 par le Tribunal cantonal du canton de Neuchâtel et rejeté dans la mesure de sa recevabilité la demande en révision du 21 avril 2021 de l'arrêt rendu le 15 février 2019 par le Tribunal cantonal du canton de Neuchâtel. La première était tardive. La deuxième ne remplissait pas les conditions de l'art. 57 LPJA/NE.</w:t>
      </w:r>
    </w:p>
    <w:p>
      <w:r>
        <w:rPr>
          <w:b/>
        </w:rPr>
        <w:t>E. 2</w:t>
      </w:r>
    </w:p>
    <w:p>
      <w:r>
        <w:t>Par courrier posté le 20 septembre 2021, A.________ dépose un recours auprès du Tribunal fédéral contre l'arrêt rendu le 3 septembre 2021 par le Tribunal cantonal du canton de Neuchâtel. Il y procède à la critique des faits retenus dans l'arrêt attaqué et se plaint de la violation de l'art. 57 LPJA/NE ainsi que de nombreux articles de la CEDH, de la Cst. féd., du CO, du CPS, du CPP et du Statut de Rome de la Cour pénale internationale. Il formule la conclusion suivante : " Contrairement à ce que prétend le TCN, le recours est recevable car présentés dans les délais légaux et que les éléments anciens et nouveaux n'ont pas été examinés par le TCN. "</w:t>
      </w:r>
    </w:p>
    <w:p>
      <w:r>
        <w:rPr>
          <w:b/>
        </w:rPr>
        <w:t>E. 3</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 En l'espèce, le litige porte uniquement sur l'irrecevabilité du recours déposé le 21 avril 2021 et sur le rejet de la demande de révision du même jour dirigés contre l'arrêt rendu le 3 septembre 2021 par le Tribunal cantonal du canton de Neuchâtel prononcés par ce même tribunal. Il s'ensuit que les conclusions et les griefs qui portent sur d'autres objets, notamment la décision rendue le 17 décembre 2018 par le Département des finances et de la santé du canton de Neuchâtel, le comportement du Médecin cantonal neuchâtelois ou encore la violation des nombreuses dispositions légales citées par le recourant sont irrecevables.</w:t>
      </w:r>
    </w:p>
    <w:p>
      <w:r>
        <w:rPr>
          <w:b/>
        </w:rPr>
        <w:t>E. 4</w:t>
      </w:r>
    </w:p>
    <w:p>
      <w:r>
        <w:t>En vertu de l' art. 107 al. 1 LTF , le Tribunal fédéral ne peut aller au-delà des conclusions des parties. En l'espèce, le recourant demande au Tribunal fédéral de déclarer recevable le recours du 21 avril 2021 contre l'arrêt rendu le 15 février 2019 par le Tribunal cantonal du canton de Neuchâtel. Il ne formule aucune conclusion relative au rejet de la demande de révision, mais l'on comprend à la lecture de son mémoire de recours qu'il demande également l'annulation du rejet de la demande de révision.</w:t>
      </w:r>
    </w:p>
    <w:p>
      <w:r>
        <w:rPr>
          <w:b/>
        </w:rPr>
        <w:t>E. 5</w:t>
      </w:r>
    </w:p>
    <w:p>
      <w:r>
        <w:t>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p. 324; arrêt 2C_20/2019 du 13 mai 2019 consid. 2.1). Le Tribunal fédéral n'examine toutefois le moyen tiré de la violation de droits fondamentaux que si ce grief a été invoqué et motivé de manière précise par le recourant ( art. 106 al. 2 LTF ). En l'espèce le recourant se plaint de la violation de l'art. 57 LPJA/NE, qui est une règle de la procédure cantonale sans invoquer l' art. 9 Cst. ni exposer concrètement en quoi l'instance précédente aurait appliqué cette disposition de manière arbitraire. Pour le surplus, il y a lieu de confirmer que le recours du 21 avril 2021 bien que mal adressé aurait dû être déclaré irrecevable pour tardiveté par le Tribunal fédéral en application de l' art. 100 al. 1 LTF comme l'a constaté l'instance précédente.</w:t>
      </w:r>
    </w:p>
    <w:p>
      <w:r>
        <w:rPr>
          <w:b/>
        </w:rPr>
        <w:t>E. 6</w:t>
      </w:r>
    </w:p>
    <w:p>
      <w:r>
        <w:t>Invoquant le droit tiré de l'art. 6 § 1 CEDH selon lequel toute personne a droit à ce que sa cause soit entendue publiquement et équitablement, le recourant soutient que le Tribunal cantonal du canton de Neuchâtel ne l'a pas entendu. Il n'expose pas, même de façon succincte, la portée de l'art. 6 § 1 CEDH eu égard au droit d'être entendu ni ne précise du reste de la violation de quel droit d'être entendu - par écrit ou par oral - il entend se plaindre. Ne répondant pas aux exigences de motivation accrues de l' art. 106 al. 2 LTF , le grief est irrecevable.</w:t>
      </w:r>
    </w:p>
    <w:p>
      <w:r>
        <w:rPr>
          <w:b/>
        </w:rPr>
        <w:t>E. 7</w:t>
      </w:r>
    </w:p>
    <w:p>
      <w:r>
        <w:t>Dépourvu de motivation admissible ( art. 106 al. 2 LTF ), le présent recours est ainsi manifestement irrecevable ( art. 108 al. 1 let. b LTF ) et doit être traité selon la procédure simplifiée de l' art. 108 LTF , sans qu'il y ait lieu d'ordonner un échange d'écritures. Succombant, le recourant doit supporter les frais de la procédure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