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2C_750/2016 vom 25. März 2020</w:t>
      </w:r>
    </w:p>
    <w:p>
      <w:r>
        <w:t>Bundesgericht, 2020-03-25, IT</w:t>
      </w:r>
    </w:p>
    <w:p>
      <w:r>
        <w:rPr>
          <w:b/>
        </w:rPr>
        <w:t xml:space="preserve">Quelle: </w:t>
      </w:r>
      <w:r>
        <w:t>https://mcp.opencaselaw.ch/entscheid/bger_2C_750_2016</w:t>
      </w:r>
    </w:p>
    <w:p>
      <w:r>
        <w:t>FR: TF 2C_750/2016 du 25 mars 2020</w:t>
      </w:r>
    </w:p>
    <w:p>
      <w:r>
        <w:t>IT: TF 2C_750/2016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le parti ricorrenti invocano,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3, nella sua qualità di proprietaria di fondi, ubicati nei Comuni che rientrano nell'imposizione e sui quali sono presenti più di 50 posteggi per autovetture, essa fa parte della cerchia dei soggetti giuridici qualificabili quali debitori della controversa tassa di collegamento (art. 35h combinato con l'art. 35b LTPub). Da parte loro le ricorrenti 1 e 2 sostengono che quali conduttrici (vedasi i contratti di locazione prodotti in causa) di un importante numero di posteggi è ugualmente ipotizzabile che il locatore ribalti su di esse il costo della tassa. Premesse queste considerazioni, non è quindi per nulla inverosimile che tutte e tre le ricorrenti vengano confrontate con l'applicazione della tassa ora contestata. La loro legittimazione ad agire va pertanto di principio ammessa.</w:t>
      </w:r>
    </w:p>
    <w:p>
      <w:r>
        <w:rPr>
          <w:b/>
        </w:rPr>
        <w:t>E. 1.6.3</w:t>
      </w:r>
    </w:p>
    <w:p>
      <w:r>
        <w:t>Nella propria risposta del 4 ottobre 2016 il Consiglio di Stato domanda di negare alle ricorrenti la legittimazione ad impugnare i modificati art. 11 cpv. 1 e 30 cpv. 3 e 4 LTPub. Secondo il Governo ticinese, il quale ipotizza che le interessate sono incorse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loro le ricorrenti si limitano ad affermare che nella misura in cui detti disposti riguardano, anche marginalmente, la tassa di collegamento, essi rimangono prudenzialmente contestati. Appare dubbio che una simile argomentazione sia sufficiente (vedasi DTF 142 V 395 consid. 3.1 pag. 397) a dimostrare che esse possono prevalersi perlomeno di un interesse virtuale. La questione non merita tuttavia ulteriori approfondimenti.</w:t>
      </w:r>
    </w:p>
    <w:p>
      <w:r>
        <w:rPr>
          <w:b/>
        </w:rPr>
        <w:t>E. 1.6.4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le qui ricorrenti. Al riguardo va pertanto negato a queste ultime la legittimazione ad impugnarle e, su questo punto, il ricorso si rivela inammissibile.</w:t>
      </w:r>
    </w:p>
    <w:p>
      <w:r>
        <w:rPr>
          <w:b/>
        </w:rPr>
        <w:t>E. 2.1</w:t>
      </w:r>
    </w:p>
    <w:p>
      <w:r>
        <w:t>Dopo un resoconto dettagliato dell'iter legislativo che ha preceduto l'adozione delle modifiche legislative oggetto di disamina e presentata la loro situazione personale (imprese attive a livello svizzero e internazionale nel settore dei trasporti e della logistica), le ricorrenti sottolineano in primo luogo che la tassa non è più, contrariamente alla versione originaria, un contributo causale, bensì un'imposta (con uno scopo di natura finanziaria e di copertura del disavanzo e forse indirizzata ad avere effetti sul traffico veicolare). Esse spiegano in seguito perché, a loro avviso, anche se si volesse considerare che è un'imposta speciale a destinazione vincolata, la stessa in ogni caso non adempirebbe né i requisiti dell'imposta orientativa (non vi è un reale effetto incitativo siccome è a carico di una limitata cerchia di proprietari di fondi, non di chi [utenti] si intende orientare, e senza l'obbligo di riversarla su quest'ultimi; persegue primariamente interessi fiscali e finanziari, poiché concepita come misura di contenimento del disavanzo; non porterebbe all'aumento dell'uso dei trasporti pubblici, questi non essendo concorrenziali rispetto all'uso dell'automobile né per i pendolari [in termini di frequenza oraria e tempi di percorrenza] né per i clienti e/o visitatori di centri commerciali [a seconda degli acquisiti è impraticabile usare i mezzi pubblici]; cfr. ricorso pag. 15 a 17) né quelli dell'imposta di rivalsa dei costi (assenza di criteri oggettivi, sostenibili e ragionevoli nel definire la cerchia dei contribuenti; impossibilità d'imputare le spese del trasporto pubblico connesse alla tassa alla cerchia dei contribuenti assoggettati [i quali peraltro non ne traggono vantaggio alcuno] rispettivamente agli automobilisti; alcun legame tra i posteggi con più di 50 stalli e l'aumento dei costi legati al trasporto pubblico; cfr. ricorso pag. 17-18).</w:t>
      </w:r>
    </w:p>
    <w:p>
      <w:r>
        <w:rPr>
          <w:b/>
        </w:rPr>
        <w:t>E. 2.2</w:t>
      </w:r>
    </w:p>
    <w:p>
      <w:r>
        <w:t>Esposti brevemente i motivi che hanno portato, tra l'altro, all'adozione della tassa di collegamento, ossia la volontà di conferire,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3.4.3</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4.7 di seguito).</w:t>
      </w:r>
    </w:p>
    <w:p>
      <w:r>
        <w:rPr>
          <w:b/>
        </w:rPr>
        <w:t>E. 3.5</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Le ricorrenti fanno valere la disattenzione dei principi della generalità e dell'uniformità dell'imposizione come pure dell'imposizione secondo la capacità economica ( art. 127 cpv. 2 Cost. ) nonché di vari diritti e principi costituzionali, cioè l'uguaglianza giuridica ( art. 8 Cost. ), il divieto dell'arbitrio ( art. 9 Cost. ), la garanzia della proprietà privata ( art. 26 e 36 Cost. ) e la libertà economica, segnatamente dal profilo della parità di trattamento tra concorrenti diretti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4.3.1</w:t>
      </w:r>
    </w:p>
    <w:p>
      <w:r>
        <w:t>Le ricorrenti contestano il fatto che, in virtù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Affermano che non vi è alcuna giustificazione possibile per ammettere un trattamento differente tra due proprietari di fondi sui quali vi è lo stesso numero di posteggi (50 o più) unicamente in base al Comune. Instaurare una differenziazione soltanto in base all'ubicazione territoriale o a causa di asseriti problemi di traffico invece di applicare, ad esempio, in funzione delle zone di traffico una tariffa progressiva è ingiustificato, poiché non si basa su criteri sostenibili né convincenti.</w:t>
      </w:r>
    </w:p>
    <w:p>
      <w:r>
        <w:rPr>
          <w:b/>
        </w:rPr>
        <w:t>E. 4.3.2</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rPr>
          <w:b/>
        </w:rPr>
        <w:t>E. 4.3.3</w:t>
      </w:r>
    </w:p>
    <w:p>
      <w:r>
        <w:t>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4.4.1</w:t>
      </w:r>
    </w:p>
    <w:p>
      <w:r>
        <w:t>Le ricorrenti intravedono in seguito una disattenzione del principio della parità di trattamento nel fatto che vengono esentati i posti auto destinati esclusivamente al servizio di abitazioni (art. 35b cpv. 2 in fine LTPub), allorché lo spostamento casa-lavoro-casa è indiscutibilmente causa di traffico. La censura, non meglio sostanziata, non adempie le esigenze di motivazione poste dai combinati art. 42 cpv. 2 e 106 cpv. 2 LTF e sfugge pertanto ad un esame di merito.</w:t>
      </w:r>
    </w:p>
    <w:p>
      <w:r>
        <w:rPr>
          <w:b/>
        </w:rPr>
        <w:t>E. 4.4.2</w:t>
      </w:r>
    </w:p>
    <w:p>
      <w:r>
        <w:t>Ma quand'anche si volesse da ciò prescindere la stessa andrebbe comunque respinta. Come spiegato dal Consiglio di Stato nella propria risposta (pag. 27 punto b) cc), i posteggi al servizio dell'abitazione (art. 35b cpv. 2 in fine LTPub)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fondata su criteri sostenibili. Non vi è pertanto disparità di trattamento.</w:t>
      </w:r>
    </w:p>
    <w:p>
      <w:r>
        <w:rPr>
          <w:b/>
        </w:rPr>
        <w:t>E. 4.5.1</w:t>
      </w:r>
    </w:p>
    <w:p>
      <w:r>
        <w:t>Censurando la disattenzione del principio della generalità dell'imposizione fiscale, le ricorrenti adducono in seguito che non è mai stata fornita una giustificazione sufficiente e convincente del perché i proprietari di fondi sui quali vi sono 50 o più posteggi dovrebbero essere chiamati, quale gruppo di persone, a contribuire in maniera accresciuta e speciale al finanziamento dei trasporti pubblici, allorché non sono responsabili in modo accresciuto dell'insorgere dei citati costi e che non beneficiano di un vantaggio particolare rispetto al resto della popolazione. Per quanto attiene all'equità fiscale, ritengono manifestamente sproporzionato nonché lesivo della parità di trattamento lo scalino contributivo, siccome chi possiede 49 posteggi nulla paga, mentre chi ne ha 50 potrebbe dovere pagare imposte ammontanti fino a fr. 53'550.-- annui.</w:t>
      </w:r>
    </w:p>
    <w:p>
      <w:r>
        <w:rPr>
          <w:b/>
        </w:rPr>
        <w:t>E. 4.5.2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4.5.3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migliaia di posteggi e per i quali l'onere contributivo risulta rilevante. Ad esempio chi dispone di 150 posti auto (e non può quindi beneficiare delle riduzioni previste dalla legge) dovrà pagare un importo pari a circa fr. 131'250.-- annui (fr. 3.50 x 250 giorni x 150 posteggi). Senza dimenticare che appare complicato se non impossibile in simili casi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4.6</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4.7</w:t>
      </w:r>
    </w:p>
    <w:p>
      <w:r>
        <w:t>La legge, al suo articolo 35t, prevede, come già accennato (consid. 3.4.3)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5.1</w:t>
      </w:r>
    </w:p>
    <w:p>
      <w:r>
        <w:t>Le ricorrenti fanno poi valere la violazione della garanzia della proprietà privata tutelata dall' art. 26 Cost. Esse ribadiscono che la base legale creata per sostenere la tassa contestata è insufficiente, non essendovi un legame sufficientemente intenso tra cerchia di assoggettati e costi posti a loro carico. In ogni caso, difetterebbero gli altri presupposti esatti dall' art. 36 Cost. per ammettere un'ingerenza in questo diritto: mancherebbe un interesse pubblico idoneo a giustificare l'ingerenza così come prevista; non essendo dimostrato l'effetto orientativo, la tassa litigiosa non risulterebbe idonea per perseguire lo scopo dichiarato; infine non apparirebbe né necessaria, un provvedimento meno incisivo (assoggettare tutti i fondi con 50 posteggi rispettivamente assoggettare gli utenti) essendo ipotizzabile, né proporzionata rispetto all'obiettivo di volere orientare il comportamento degli utenti della strada.</w:t>
      </w:r>
    </w:p>
    <w:p>
      <w:r>
        <w:rPr>
          <w:b/>
        </w:rPr>
        <w:t>E. 5.2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5.3</w:t>
      </w:r>
    </w:p>
    <w:p>
      <w:r>
        <w:t>Nel caso specifico le ricorrenti nulla adducono (art. 42 cpv. 2 e 106 cpv. 2 LTF) che dimostrerebbe che la tassa di collegamento - di per sé o cumulata ad altri tributi - darebbe luogo ad un carico fiscale esoso ed avrebbe quindi carattere confiscatorio, tantomeno se si considera che, come nel caso concreto, vi è la possibilità di trasferire l'onere contributivo sugli utenti diretti dei parcheggi. Per il resto le critiche sollevate si confondono con quelle formulate con riferimento alla natura della tassa quale imposta di rivalsa dei costi (cfr. consid. 3.5) rispettivamente alla violazione del principio dell'uguaglianza di trattamento (cfr. consid. 4.5.3). Al riguardo si può rinviare a quanto detto in proposito. Anche su questo punto, il ricorso si rivela privo di pertinenza e va pertanto respinto.</w:t>
      </w:r>
    </w:p>
    <w:p>
      <w:r>
        <w:rPr>
          <w:b/>
        </w:rPr>
        <w:t>E. 6.1</w:t>
      </w:r>
    </w:p>
    <w:p>
      <w:r>
        <w:t>Le ricorrenti si dolgono in seguito della violazione del principio della libertà economica ( art. 27 e 94 Cost. ). Sostengono che se dovesse essere posta a carico dei pendolari, la tassa di collegamento si rivelerebbe particolarmente onerosa, fino a livelli insostenibili, siccome la maggiorazione da applicare al canone di locazione per finanziare il citato tributo renderebbe difficile conservare il margine di guadagno rispettivamente porterebbe alla disdetta della locazione, con conseguente posteggio sfitto. Inoltre, darebbe anche luogo ad una disparità di trattamento tra concorrenti diretti, i proprietari i cui fondi non sono situati nei Comuni assoggettati essendo esentati, motivo per cui fruirebbero di un vantaggio economico.</w:t>
      </w:r>
    </w:p>
    <w:p>
      <w:r>
        <w:rPr>
          <w:b/>
        </w:rPr>
        <w:t>E. 6.2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5), le ricorrenti non forniscono alcun elemento che dimostri che la tassa di collegamento è proibitiva e impedisce loro di realizzare un beneficio conveniente. Per il resto la critica si riferisce di nuovo alla violazione del principio dell'uguaglianza di trattamento più particolarmente tra concorrenti diretti, che è stata giudicata infondata (cfr. consid. 4.5.3). Anche su questo punto, il ricorso si rivela privo di pertinenza e va pertanto respinto.</w:t>
      </w:r>
    </w:p>
    <w:p>
      <w:r>
        <w:rPr>
          <w:b/>
        </w:rPr>
        <w:t>E. 7</w:t>
      </w:r>
    </w:p>
    <w:p>
      <w:r>
        <w:t>Secondo le ricorrenti, la data d'entrata in vigore delle modifiche contestate, decisa dal Consiglio di Stato su delega del Gran Consiglio e fissata al 1° agosto 2016, sia per quanto concerne la legge che il nuovo regolamento, sarebbe inficiata d'arbitrio. Non viene infatti accordato al contribuente il tempo necessario per adottare le misure necessarie (eventuale rinegoziazione dei contratti di locazione, posa di barriere, casse per il pagamento, riduzione di fatto o fisica dei posteggi autorizzati, ecc.).</w:t>
      </w:r>
    </w:p>
    <w:p>
      <w:r>
        <w:t>La censura non va esaminata, poiché diventata priva d'oggetto. Anche se effettivamente il lasso di tempo inizialmente previsto tra la pubblicazione delle modifiche della LTPub e del RTColl e la loro entrata in vigore era breve, al procedimento è stato concesso l'effetto sospensivo (cfr. Fatti punto E e consid. 8.2). Ora, considerato il tempo trascorso, non può più adesso essere sostenuto che non vi sia stato tempo a sufficienza per adottare i necessari provvedimenti (dismissione e/o collocazione fuori esercizio dei posteggi; installazione di sistemi di controllo quali barriere, parchimetri, ecc.; risoluzione dei problemi attinenti al diritto della locazione e del lavoro). Anche su questo punto, il ricorso va respinto.</w:t>
      </w:r>
    </w:p>
    <w:p>
      <w:r>
        <w:rPr>
          <w:b/>
        </w:rPr>
        <w:t>E. 8.1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8.2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4.7), l'entrata in vigore dev'essere fissata ex nunc. Il Consiglio di Stato è quindi invitato a fissare una nuova data per l'entrata in vigore delle norme contestate.</w:t>
      </w:r>
    </w:p>
    <w:p>
      <w:r>
        <w:rPr>
          <w:b/>
        </w:rPr>
        <w:t>E. 9</w:t>
      </w:r>
    </w:p>
    <w:p>
      <w:r>
        <w:t>Le spese della procedura davanti al Tribunale federale sono poste a carico delle ricorrenti, soccombenti, con vincolo di solidarietà ( art. 65 e 66 cpv. 1 e 5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