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2C_749/2016 vom 25. März 2020</w:t>
      </w:r>
    </w:p>
    <w:p>
      <w:r>
        <w:t>Bundesgericht, 2020-03-25, IT</w:t>
      </w:r>
    </w:p>
    <w:p>
      <w:r>
        <w:rPr>
          <w:b/>
        </w:rPr>
        <w:t xml:space="preserve">Quelle: </w:t>
      </w:r>
      <w:r>
        <w:t>https://mcp.opencaselaw.ch/entscheid/bger_2C_749_2016</w:t>
      </w:r>
    </w:p>
    <w:p>
      <w:r>
        <w:t>FR: TF 2C_749/2016 du 25 mars 2020</w:t>
      </w:r>
    </w:p>
    <w:p>
      <w:r>
        <w:t>IT: TF 2C_749/2016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rPr>
          <w:b/>
        </w:rPr>
        <w:t>E. 1.6.1</w:t>
      </w:r>
    </w:p>
    <w:p>
      <w:r>
        <w:t>La ricorrente chiede di dichiarare totalmente irricevibili le osservazioni presentate il 4 ottobre 2016 dal Consiglio di Stato rispettivamente di estrometterne le pagine da 1 a 40. Rimprovera al Consiglio di Stato di non esprimervisi sul merito del proprio gravame, contrariamente a quanto disposto dall' art. 102 cpv. 1 LTF .</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la qui ricorrente ha potuto fare (vedasi gli allegati presentati nell'ambito del secondo scambio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la ricorrente, nella sua qualità di proprietaria di fondi o di insieme di fondi sui quali sono presenti più di 50 posteggi per autovetture (più esattamente a sua disposizione ne ha circa 150), essa fa parte della cerchia dei soggetti giuridici qualificabili quali debitori della controversa tassa di collegamento (art. 35h combinato con l'art. 35b LTPub). Osserva in seguito che anche quale inquilina (essendo titolare di un contratto di locazione su un fondo sul quale sorgono più di 50 posteggi) la legittimazione ricorsuale dovrebbe esserle riconosciuta poiché anche se non è qualificabile quale debitrice della tassa ai sensi dell'art. 35c LTPub, potrebbe essere il soggetto chiamato, in ultima analisi, a pagarla. Premesse queste considerazioni, non è quindi per nulla inverosimile che la ricorrente venga confrontata con l'applicazione della tassa ora contestata. La sua legittimazione ad agire va pertanto di principio ammessa.</w:t>
      </w:r>
    </w:p>
    <w:p>
      <w:r>
        <w:rPr>
          <w:b/>
        </w:rPr>
        <w:t>E. 1.7.3</w:t>
      </w:r>
    </w:p>
    <w:p>
      <w:r>
        <w:t>Nella propria risposta del 4 ottobre 2016 il Consiglio di Stato domanda di negare alla ricorrente la legittimazione ad impugnare i modificati art. 11 cpv. 1 e 30 cpv. 3 e 4 LTPub. Secondo il Governo ticinese, il quale ipotizza che l'interessata è incorsa in una svista, detti disposti nulla hanno da vedere con la tassa di collegamento siccome concernono, il primo, l'adozione e l'intimazione ai Comuni dell'offerta di trasporto pubblico e, il secondo, la definizione del contributo dei Comuni per gli investimenti e il relativo rimedio giuridico.</w:t>
      </w:r>
    </w:p>
    <w:p>
      <w:r>
        <w:t>Da parte sua la ricorrente, che ammette che la censura contro l'art. 30 cpv. 3 e 4 LTPub può cadere, si limita ad affermare che le modifiche inerenti all'art. 11 cpv. 1 LTPub sono in relazione diretta con la tassa di collegamento, siccome viene soppresso l'obbligo del Consiglio di Stato di notificare l'offerta di trasporto non solo ai Comuni, bensì anche agli astretti al pagamento del tributo. Appare dubbio che una simile argomentazione sia sufficiente (vedasi DTF 142 V 395 consid. 3.1 pag. 397) a dimostrare che essa possa prevalersi perlomeno di un interesse virtuale. La questione non merita tuttavia ulteriori approfondimenti.</w:t>
      </w:r>
    </w:p>
    <w:p>
      <w:r>
        <w:rPr>
          <w:b/>
        </w:rPr>
        <w:t>E. 1.7.4</w:t>
      </w:r>
    </w:p>
    <w:p>
      <w:r>
        <w:t>Come emerge dal Messaggio del 4 novembre 2015, la modifica dell'art. 11 cpv. 1 LTPub è stata voluta poiché il disposto si riferiva in parte ancora alla versione dell'art. 35 LTPub precedente alla modifica del 17 dicembre 2014 (cfr. Messaggio del 4 novembre 2015 citato pag. 32). È quindi indubbio, come osservato dal Consiglio di Stato che, anche se collegata alla tassa litigiosa, questa norma concerne tuttavia unicamente i Comuni; è pertanto da escludere che possa, anche solo in modo virtuale, toccare un giorno la qui ricorrente. Al riguardo le va pertanto negato la legittimazione ad impugnarla e, su questo punto, il ricorso si rivela inammissibile.</w:t>
      </w:r>
    </w:p>
    <w:p>
      <w:r>
        <w:rPr>
          <w:b/>
        </w:rPr>
        <w:t>E. 2.1</w:t>
      </w:r>
    </w:p>
    <w:p>
      <w:r>
        <w:t>Dopo una breve presentazione dell'iter legislativo che ha preceduto l'adozione delle modifiche legislative oggetto di disamina, la ricorrente, la quale considera che si tratta di un'imposta a destinazione vincolata, spiega perché, a suo avviso, il tributo litigioso non è un'imposta di orientamento. In primo luogo perché quelli che devono versarlo (i proprietari dei fondi siti in determinati Comuni, sui quali sono situati 50 o più posteggi) non sono quelli di cui lo Stato vuole modificare il comportamento (gli automobilisti). Dopo perché manca lo scopo orientativo (non essendovi alcun obbligo di ribaltare la tassa sugli utenti dei posteggi, operazione peraltro impossibile secondo lei, così come difetta una relazione diretta tra la tassa di collegamento e il carico di traffico stradale generato). Osserva poi che manca l'esigenza dell'elasticità della domanda, siccome non vi è la possibilità effettiva, per chi deve pagare il tributo, di potere scegliere tra un comportamento conforme allo scopo e agli obiettivi della legge (utilizzo dei trasporti pubblici) o no (utilizzazione dell'automobile privata). Oltre al fatto che, a suo avviso, l'imposta in questione provocherà in realtà un aumento del traffico parassitario (dovuto alla migrazione dai posteggi assoggettati a parcheggi più piccoli e quindi esenti), la ricorrente afferma che, per la stragrande maggioranza della popolazione, i mezzi di trasporto pubblico, data la loro scarsa qualità (ad eccezione degli agglomerati), non costituiscono un'alternativa praticabile per il percorso da casa al lavoro e ritorno, il tempo di percorso venendo prolungato in modo eccessivo con i trasporti pubblici o non essendo realizzabile (per chi vive a Losone e lavora a Lugano, 2 ore e 20 minuti in più al giorno; per chi risiede ad esempio a Cevio, nelle ore lavorative vi è un bus ogni ora). Aggiunge inoltre che un'imposta d'orientamento non dovrebbe avere fini fiscali, ciò che non è il caso in concreto, il tributo litigioso dovendo coprire un terzo delle spese di gestione del trasporto pubblico. A parere della ricorrente si è in realtà in presenza di un'imposta di attribuzione dei costi che risulta tuttavia illecita, poiché disattende vari diritti e principi costituzionali (esposti e trattati di seguito). Violazioni riscontrate peraltro anche nell'ipotesi in cui si considera che si è in presenza di un'imposta di orientamento.</w:t>
      </w:r>
    </w:p>
    <w:p>
      <w:r>
        <w:rPr>
          <w:b/>
        </w:rPr>
        <w:t>E. 2.2</w:t>
      </w:r>
    </w:p>
    <w:p>
      <w:r>
        <w:t>Descritti i motivi che hanno portato, tra l'altro, all'adozione della tassa di collegamento, ossia la volontà,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 il</w:t>
      </w:r>
    </w:p>
    <w:p>
      <w:r>
        <w:t>"carpooling" , ecc.; riduzione dei posteggi privati ed eliminazione di quelli abusivi; riduzione della disponibilità e dell'attrattiva dei posteggi mediante il prelievo della tassa di collegamento),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La ricorrente censura la violazione del requisito della base legale formale esatto dall' art. 127 cpv. 1 Cost. In primo luogo afferma che la normativa litigiosa non contiene tutti gli elementi determinanti. Difetterebbe segnatamente il campo di applicazione territoriale, che stabilisce direttamente la cerchia dei contribuenti e, di riflesso, le esenzioni, il quale è disciplinato non dalla LTPub, bensì dal Regolamento della legge sullo sviluppo territoriale, nel suo Allegato 1. In secondo luogo, sostiene che nemmeno il calcolo dell'onere tributario figura nella legge formale. In effetti, l'art. 35e LTPub che disciplina la questione, non fornisce alcuna reale indicazione, siccome le forchette ivi previste al capoverso 1 lett. a e b non permettono di farsi un'idea concreta del tributo che realmente verrà esatto. In altre parole detto disposto non consente di prevedere con sufficiente sicurezza l'onere fiscale posto a carico del contribuente.</w:t>
      </w:r>
    </w:p>
    <w:p>
      <w:r>
        <w:t>Da parte sua il Consiglio di Stato considera invece che nella legge (in senso formale) querelata figurano tutti gli elementi richiesti, cioè la cerchia dei contribuenti (art. 35b e 35c LTPub), le esenzioni (art. 35d LTPub) nonché i criteri per determinare l'ammontare della tassa e il suo calcolo (art. 35e e 35f LTPub). Gli affinamenti necessari all'attuazione della legge vengono invece adottati dal Consiglio di Stato, mediante regolamento.</w:t>
      </w:r>
    </w:p>
    <w:p>
      <w:r>
        <w:rPr>
          <w:b/>
        </w:rPr>
        <w:t>E. 3.4.3</w:t>
      </w:r>
    </w:p>
    <w:p>
      <w:r>
        <w:t>In ambito tributario il principio della legalità è un diritto costituzionale indipendente ancorato all' art. 127 cpv. 1 Cost. Detta norma - che si applica a tutti i tributi pubblici, siano essi federali, cantonali o comunali - prescrive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Se la legge delega all'organo esecutivo la competenza di stabilire un tributo, la norma di delegazione non può quindi dare carta bianca a quest'autorità, ma deve indicare, almeno a grandi linee, la cerchia dei contribuenti, l'oggetto e la base di calcolo del tributo. Su questo punto la norma di delegazione dev'essere sufficientemente precisa. È infatti importante che l'organo esecutivo non disponga di un margine di manovra eccessivo e che i cittadini possano definire i limiti del tributo che verrà prelevato su questa base ( DTF 143 I 220 consid. 5.1.1 pag. 224; 143 I 227 consid. 4.2 pag. 232 seg.; 136 I 142 consid. 3.1 pag. 144; sentenza 2C_446/2019 del 20 settembre 2019 consid. 2.1.1).</w:t>
      </w:r>
    </w:p>
    <w:p>
      <w:r>
        <w:rPr>
          <w:b/>
        </w:rPr>
        <w:t>E. 3.4.4</w:t>
      </w:r>
    </w:p>
    <w:p>
      <w:r>
        <w:t>Come addotto dal Consiglio di Stato, il rinvio contenuto all'art. 35b cpv. 1 LTPub al Regolamento cantonale posteggi privati, il quale contiene la lista dei Comuni in cui la tassa va prelevata (art. 51 cpv. 3 RLst con rinvio all'Allegato 1), non oltrepassa quanto autorizzato a livello di delega ( DTF 135 I 130 consid. 7.2 e 7.3 pag. 140 seg. e richiami; sentenza 2C_122/2011 del 7 giugno 2012 consid. 2.3 e riferimenti parzialmente pubblicata in: SJ 2013 I 60). La lista in questione è circoscritta ad un quesito sufficientemente definito per apparire ammissibile e viene elaborata, in collaborazione con una commissione consultativa, in base a criteri precisi contenuti nella legge, segnatamente agli art. 42 cpv. 2 e 43 cpv. 1 LST, che prevedono che il campo di applicazione del citato regolamento cantonale posteggi privati è limitato ai Comuni dove vi è un sufficiente livello di servizio di trasporto pubblico (determinato in base alla banca dati cantonale dove una corsa ogni ora e per direzione è considerata un'offerta minima); dove si riscontrano problemi di traffico (saturazione nelle ore di punta stabilita in base al modello cantonale del traffico e raggiunta quando il grado di utilizzo della capacità nelle ore di punta è superiore all'80 %) e dove i valori limite di inquinamento dell'aria e di immissioni foniche sono superati (fissati sulla base dei dati ufficiali dell'Osservatorio ambientale della Svizzera italiana rispettivamente della Sezione della protezione dell'aria dell'acqua e del suolo). Altrimenti detto, il margine di manovra di cui fruisce il Consiglio di Stato è ben delimitato e i limiti del tributo definiti (art. 35e LTPub). La censura, infondata, va pertanto respinta.</w:t>
      </w:r>
    </w:p>
    <w:p>
      <w:r>
        <w:t>Per quanto concerne le critiche concernenti la determinazione dell'onere tributario, il Consiglio di Stato osserva che lo stesso non è definito e limitato solo dalle forchette figuranti all'art. 35e cpv. 1 lett. a e b LTPub, ma anche dalla prima frase del medesimo capoverso, secondo cui l'imposta deve coprire di principio un terzo delle spese di gestione, nozione quest'ultima chiaramente definita dalla legge, segnatamente dagli art. 23 cpv. 2 e 24 LTPub (aspetti peraltro, osserva il Governo, dettagliatamente spiegati nel Messaggio del 4 novembre 2015, punto 3). Altrimenti detto la combinazione di questi elementi (forchette e principio di copertura di un terzo delle spese di gestione) definiscono in modo chiaro i criteri per il calcolo dell'imposizione - cui è peraltro posto un tetto massimo - e costituiscono una sufficiente base legale. Dalle spiegazioni fornite dal Consiglio di Stato discende che, contrariamente all'assunto della ricorrente, nella LTPub figurano gli elementi essenziali richiesti dalla prassi, necessari per determinare l'imponibile e il modo di calcolarlo. Anche su questo punto il ricorso, infondato, dev'essere respinto.</w:t>
      </w:r>
    </w:p>
    <w:p>
      <w:r>
        <w:rPr>
          <w:b/>
        </w:rPr>
        <w:t>E. 3.4.5</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w:t>
      </w:r>
    </w:p>
    <w:p>
      <w:r>
        <w:t>"carpooling"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3.4.6</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5.5 di seguito).</w:t>
      </w:r>
    </w:p>
    <w:p>
      <w:r>
        <w:rPr>
          <w:b/>
        </w:rPr>
        <w:t>E. 3.5</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la violazione dei principi della generalità e dell'uniformità dell'imposizione come pure dell'imposizione secondo la capacità economica ( art. 127 cpv. 2 Cost. ) nonché di vari diritti e principi costituzionali, cioè il principio della proporzionalità e della buona fede ( art. 5 Cost. ), dell'uguaglianza giuridica ( art. 8 Cost. ), del divieto dell'arbitrio ( art. 9 Cost. ), della parità di trattamento tra concorrenti diretti ( art. 27, 36 e 94 Cost. ), della garanzia della proprietà privata ( art. 26 e 36 Cost. ) e della libertà economica ( art. 27, 36 e 94 Cost. ).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richiami),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la ricorrente adduce che così come è stata concepita la tassa di collegamento querelata viola in maniera lampante e sotto più aspetti i principi di cui all' art. 127 cpv. 2 Cost. Essa critica il fatto che, in applicazione dell'art. 35b cpv. 1 LTpub, l'assoggettamento sia limitato, dal profilo territoriale, ai soli Comuni del Cantone nei quali si applica, giusta gli art. 42 e 43 LST, il Regolamento cantonale posteggi privati, costituito dagli art. 51 a 62 RLst nonché dall'Allegato 1 (cioè l'elenco dei Comuni interessati). Producendo una cartina, pubblicata in linea dal Dipartimento del territorio del Cantone Ticino ove i Comuni interessati sono evidenziati, la ricorrente afferma che non vi è alcuna giustificazione possibile per ammettere un trattamento differente tra due proprietari di fondi sui quali vi è lo stesso numero di posteggi (50 o più) al servizio di attività economiche unicamente in base al Comune o, addirittura al quartiere all'interno del medesimo Comune politico. Ad esempio per i Comuni di Castel San Pietro, Chiasso, Mendrisio, Bioggio, Collina d'Oro, Lugano, Monteceneri e Gambarogno solo una parte del territorio comunale è assoggettata al tributo litigioso (ricorso pag. 23 nota n. 47 a piè di pagina). Ora, non è dato da vedere in che il traffico veicolare individuale generato da questi parcheggi sia differente. Il criterio della definizione territoriale è quindi arbitrario.</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precisa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vi sono superamenti dei valori limite di inquinamento dell'aria e di immissioni foniche.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28),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una disattenzione del principio della parità di trattamento nel fatto che la legge assoggetta al contributo alcune tipologie di posteggio, mentre ne esenta altre. Segnatamente vengono esentati i posti auto destinati esclusivamente al servizio di abitazioni (art. 35b cpv. 2 in fine LTPub) nonché, giusta l'art. 6 RTColl, quelli legati ad attività alberghiere e di ristorazione, ad attività di svago e culturali, i luoghi di culto, i visitatori di strutture sociosanitarie, i posteggi pubblici ivi definiti, i posteggi di interscambio (Park &amp; Ride) e quelli di attestamento definiti dal piano direttore. Ora, a parere della ricorrente, non si ravvisano motivi per operare questa differenziazione, siccome detti posteggi non sono in una relazione diversa con le spese derivanti dal trasporto pubblico né generano meno traffico motorizzato privato. Anzi, la scheda R8 del Piano direttore cantonale considera esplicitamente come "grande generatore di traffico" tra l'altro le attrezzature di svago intensive o i cinema multisala - invece esentati - perché generano maggiori influssi di traffico motorizzato. Per questi motivi ritiene che la definizione della tipologia di posteggi assoggettati è totalmente arbitraria e configura una palese ed insanabile violazione del principio dell'uniformità dell'imposizione.</w:t>
      </w:r>
    </w:p>
    <w:p>
      <w:r>
        <w:t>Come spiegato dal Consiglio di Stato nella propria risposta (pag. 27 punto b) cc), i posteggi al servizio dell'abitazione (art. 35b cpv. 2 in fine LTPub)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Per quanto riguarda invece l'esenzione dei posteggi legati alle attività alberghiere e di ristorazione, ai luoghi di culto, alle attività di svago e culturali e quelli dei visitatori delle strutture sociosanitarie, il Consiglio di Stato osserva (risposta del 4 ottobre 2016 pag. 45 ad 22) che la stessa si giustifica perché il loro apporto alla situazione di saturazione nei punti sensibili della rete viaria nelle ore di punta appare marginale. Quanto ai posteggi pubblici gli stessi svolgono una funzione strategica per la gestione della mobilità e sono specificatamente previsti nel piano regolatore, dopo un'attenta quantificazione del fabbisogno e della loro coerenza con la politica di stazionamento e la sopportabilità della rete viaria circostante. Senza dimenticare che l'esenzione si limita ai posti auto non riservati o concessi in abbonamenti a chi si sposta sistematicamente (pendolari). Infine, i posteggi di interscambio (Park &amp; Ride) e di attestamento sono esentati perché direttamente al servizio di forme di mobilità più sostenibili e, quindi, volti alla riduzione del traffico veicolare. Queste spiegazioni fanno apparire del tutto accettabile la differenziazione attuata, fondata su criteri sostenibili, dato che come appena illustrato le diverse categorie di posteggi esentati non fanno parte nella problematica della saturazione della rete viaria all'ora di punta. Non vi è pertanto disparità di trattamento.</w:t>
      </w:r>
    </w:p>
    <w:p>
      <w:r>
        <w:rPr>
          <w:b/>
        </w:rPr>
        <w:t>E. 5.3.1</w:t>
      </w:r>
    </w:p>
    <w:p>
      <w:r>
        <w:t>Censurando sempre un'ingiustificata disparità di trattamento nonché la disattenzione dei principi costituzionali dell'imposizione fiscale garantiti dall' art. 127 cpv. 2 Cost. (generalità e uniformità dell'imposizione ed imposizione secondo la capacità contributiva), la ricorrente adduce in seguito che la scelta di vincolare la nascita dell'obbligo contributivo alla presenza di un numero determinato di posteggi, cioè 50 unità, è del tutto arbitraria poiché non ha nulla a che vedere con la reale imputabilità dei costi o il particolare rapporto di beneficio derivante dalle spese sostenute dall'ente pubblico rispettivamente non ha nulla a che vedere con l'effettivo volume di traffico privato generato. In effetti, con riferimento a questi aspetti, non è sostenibile affermare che la situazione di chi possiede 10, 25, 49, 50 o 100 posteggi è diversa. Anzi, al contrario, il limite previsto contrasterebbe clamorosamente con l'unico criterio oggettivo al quale il legislatore avrebbe potuto riferirsi, ossia la definizione di "Grande generatore di traffico" contenuta nella scheda R8 del Piano direttore cantonale, che vi assoggetta le infrastrutture che generano oltre 1'000 movimenti veicolari quotidiani, ciò che non è il caso di un'azienda con 50 posteggi a disposizione dei suoi dipendenti che generano un massimo di 200 movimenti al giorno. Il criticato limite darebbe poi luogo ad un'ingiustificata disparità di trattamento siccome passando da 49 a 50 posteggi l'onere contributivo passa da fr. 0.-- a fr. 53'550.-- annui di media (fr. 3.50 al giorno x 50 posteggi x 360 giorni - 15 % [art. 35e cpv. 1, 3 e 5 LTPub]), senza tralasciare che la legge (art. 35e LTPub) non commisura l'imposta alla capacità contributiva dell'assoggettato (a uguaglianza di posteggi imponibili, il medesimo importo verrà esatto dal proprietario che realizza utili miliardari da quello che fa fatica a sopravvivere rispettivamente dal dipendente con funzioni dirigenziali e dall'operaio, anche se i loro redditi non sono equiparabili) così come non prevede alcuna franchigia. Non deve nemmeno essere negletto che vengono messi a carico di un gruppo limitato di contribuenti (i proprietari di 50 posteggi e più) i costi di un servizio pubblico del quale essi non beneficiano maggiormente (addirittura per niente) rispetto al resto della popolazione e che peraltro non sono da loro generati.</w:t>
      </w:r>
    </w:p>
    <w:p>
      <w:r>
        <w:rPr>
          <w:b/>
        </w:rPr>
        <w:t>E. 5.3.2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13).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dimensioni) possono applicare forme di mobilità aziendale sostenibili (quale "</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5.3.3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risposta del 4 ottobre 2016), grava solo una minoranza di proprietari fondiari, ossia 200 di loro, che possiede solo una parte limitata dei posteggi esistenti che generano traffico, mentre la maggior parte dei proprietari di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più di 150 posteggi (vedasi pag. 2 del ricorso) o addirittura di centinaia o migliaia di posteggi e per i quali l'onere contributivo risulta rilevante. In effetti, come addotto dalla ricorrente, e non confutato dal Consiglio di Stato, essa dispone di circa 150 posti auto. Non può quindi beneficiare delle riduzioni previste dalla legge e l'importo dovuto ammonta a circa fr. 131'250.-- annui (fr. 3.50 x 250 giorni x 150 posteggi). Senza dimenticare che appare complicato se non impossibile per essa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una quota esente (</w:t>
      </w:r>
    </w:p>
    <w:p>
      <w:r>
        <w:t>"Freibeitrag", "montant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la somma annua da versare è comunque cospicua, senza dimenticare che viene prelevata soltanto su una parte minima dei posteggi esistenti in Ticino.</w:t>
      </w:r>
    </w:p>
    <w:p>
      <w:r>
        <w:t>Il fatto poi che, come accennato dal Consiglio di Stato,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seg.).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5.4</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w:t>
      </w:r>
    </w:p>
    <w:p>
      <w:r>
        <w:t>"carpooling"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5.5</w:t>
      </w:r>
    </w:p>
    <w:p>
      <w:r>
        <w:t>La legge, al suo articolo 35t, prevede, come già accennato (consid. 3.4.6)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della ricorrente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attuare le complesse e costose disposizioni necessarie per limitare il numero dei posteggi assoggettati.</w:t>
      </w:r>
    </w:p>
    <w:p>
      <w:r>
        <w:t>La censura non va esaminata, poiché diventata priva d'oggetto. In effetti, con decreto presidenziale del 2 settembre 2016 emanato in una parallela vertenza concernente la medesima fattispecie (causa 2C_664/2016) è stato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La ricorrente ha quindi beneficiato di tutto il tempo necessario per prepararsi adeguatamente all' (eventuale) entrata in vigore della legislazione contestata.</w:t>
      </w:r>
    </w:p>
    <w:p>
      <w:r>
        <w:rPr>
          <w:b/>
        </w:rPr>
        <w:t>E. 7.1</w:t>
      </w:r>
    </w:p>
    <w:p>
      <w:r>
        <w:t>La ricorrente fa poi valere la violazione della garanzia della proprietà privata tutelata dall' art. 26 Cost. Rileva che l'importo annuo da pagare nel caso di un fondo con 100 posteggi per dipendenti al servizio di un'attività economica in esercizio sei giorni alla settimana, cioè fr. 1'050.-- annui per ogni singolo posteggio equivale a quasi due o tre volte la pigione usualmente percepita sui posteggi in zone industriali e/o artigianali e/o commerciali in Ticino (la tariffa FFS chiede dai fr. 30.-- ai fr. 50.-- al mese per un posteggio all'aperto). Essa non trarrà quindi più alcun reddito dalla locazione di posteggi, dovendo forse addirittura intaccare la propria sostanza privata per far fronte al nuovo onere contributivo e nell'ipotesi in cui riuscisse ad affittare i suoi posteggi a questo prezzo astronomico, non guadagnerebbe comunque nulla dovendo pagare la tassa di collegamento contestata più i costi usuali (oneri finanziari, di manutenzione, di gestione, ecc.). La tassa contestata ravvisa quindi le caratteristiche di un'imposta confiscatoria.</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la ricorrente non fornisce elementi o dati atti a provare che l'imposta querelata la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La ricorrente fa valere in seguito una violazione del principio della libertà economica ( art. 27 e 94 Cost. ) segnatamente dal profilo della parità di trattamento tra concorrenti diretti. Ribadito che l'imposta querelata colpisce alcuni attori economici esentandone altri, che tratta in modo diametralmente opposto questi ultimi a dipendenza del Comune o, addirittura, del quartiere del Comune di situazione e che instaura disparità di trattamento tra chi dispone di un numero di posteggi computabili compreso tra 1 e 49 e chi ne ha più di 50, ne deduce un'ingiustificata distorsione del libero mercato e un'inaccettabile influenza tra i diversi attori economici. Ciò si verificherebbe particolarmente per i proprietari di posteggi attivi nel settore della locazione dei medesimi i quali dovranno maggiorare i loro prezzi dal 50 % al 200 % (rispetto a concorrenti non assoggettati) per poter continuare a conseguire il medesimo reddito.</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seg.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la ricorrente non fornisce alcun elemento che dimostri che, per quanto la concerne, la tassa di collegamento è proibitiva e l'impedisce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5.3.3). Anche su questo punto, il ricorso si rivela privo di pertinenza e va pertanto respinto.</w:t>
      </w:r>
    </w:p>
    <w:p>
      <w:r>
        <w:rPr>
          <w:b/>
        </w:rPr>
        <w:t>E. 9.1</w:t>
      </w:r>
    </w:p>
    <w:p>
      <w:r>
        <w:t>Facendo valere che, a seguito dell'imprevedibile modifica delle norme legali, è pregiudicata rispetto a disposizioni prese in conformità alle regole precedentemente applicabili (realizzazione di parcheggi sulla base di valide licenze edilizie), la ricorrente sostiene che le modifiche legislative contestate esplicherebbero un effetto retroattivo improprio, il quale violerebbe palesemente i suoi diritti acquisiti. In primo luogo perché i posteggi vengono gravati da nuovi pesanti ed imprevedibili oneri fiscali confiscatori, che influiscono sul loro valore e sulla possibilità di trarne reddito. In seguito perché non è sufficiente non utilizzare il posteggio per non dovere pagare il tributo, ma bisogna dismetterlo formalmente e materialmente (art. 35f LTPub) e, quindi, rinunciare alla licenza edilizia legittimamente ottenuta. Considerata l'evidente violazione del principio della buona fede, in particolare dal profilo della protezione della fiducia e del divieto di un comportamento contraddittorio ( art. 5 cpv. 3 e 9 Cost. ), che ne scaturisce come anche il fatto che non ha la possibilità di adeguarsi rapidamente (l'entrata in vigore essendo stata prevista poco più di un mese dopo la pubblicazione delle modifiche contestate), la ricorrente afferma che occorrerebbe prevedere adeguate norme transitorie, che limitano esplicitamente l'applicabilità delle nuove disposizioni ai posteggi abusivi e a quelli di nuova realizzazione. Nella denegata ipotesi in cui la modifica legislativa dovesse applicarsi anche ai parcheggi autorizzati con licenza edilizia cresciuta in giudicato il 14 dicembre 2015, domanda allora che venga concesso il tempo necessario per attuare le opportune misure per gestire e limitare gli effetti del nuovo tributo (dismissione in conformità all'art. 35f LTPub di eventuali posteggi in esubero rispettivamente installazione di sistemi di controllo degli accessi [barriere, casse di pagamento, ecc.] al fine di trasferire la tassa sugli utenti), concretamente che l'applicabilità della normativa sia differita di almeno un anno dall'entrata in vigore della legge.</w:t>
      </w:r>
    </w:p>
    <w:p>
      <w:r>
        <w:rPr>
          <w:b/>
        </w:rPr>
        <w:t>E. 9.2</w:t>
      </w:r>
    </w:p>
    <w:p>
      <w:r>
        <w:t>Secondo la giurisprudenza, vi è retroattività in senso stretto quando un nuovo regime legale viene applicato a fatti accaduti nel passato e completamente conclusi al momento dell'entrata in vigore del nuovo diritto. Una tale retroattività (propria) è di principio vietata, a meno che ricorrano presupposti del tutto particolari ( DTF 126 V 134 consid. 4a pag. 135 e riferimenti). Da ciò va distinta la retroattività in senso improprio, ovvero l'applicazione del nuovo diritto a situazioni che hanno avuto origine sotto la pregressa normativa, ma perdurano ancora dopo la modifica legislativa. Dal profilo costituzionale, questo secondo tipo di retroattività è di massima ammissibile, se non va ad intaccare dei diritti acquisiti o contrasta con il principio della buona fede ( DTF 133 II 97 consid. 4.1 pag. 101 seg. e richiami).</w:t>
      </w:r>
    </w:p>
    <w:p>
      <w:r>
        <w:t>La nuova normativa è applicabile a tutti i posteggi, quelli abusivi (cfr. art. 35g cpv. 1 LTPub), quelli ancora da costruire (cfr. art. 35f cpv. 5 LTPub) nonché quelli realizzati in conformità alla legge, ciò che costituisce semmai un caso di retroattività impropria, di principio ammissibile. La ricorrente non lo contesta ma ne deduce una violazione del principio della buona fede. L'invocato principio, sancito dall' art. 9 Cost. , non impedisce tuttavia una modifica delle leggi e nemmeno che ciò avvenga in ogni tempo, come impone di per sé la nozione stessa di democrazia ( DTF 130 I 26 consid. 8.1 pag. 60). Una violazione del diritto alla protezione della buona fede è pertanto data soltanto quando il legislatore ha assicurato nella legge che la stessa non sarebbe stata modificata o sarebbe stata mantenuta immutata per un certo periodo, fondando in tal modo un diritto acquisito ( DTF 145 II 140 consid. 4 pag. 145; 130 I 26 consid. 8.1 pag. 60; 128 II 112 consid. 10b/aa pag. 125 seg. e rinvii). Questi estremi non ricorrono nella fattispecie.</w:t>
      </w:r>
    </w:p>
    <w:p>
      <w:r>
        <w:t>La richiesta di prevedere, mediante una norma transitoria, che le norme contestate si applicano unicamente ai posteggi abusivi e a quelli da realizzare si appalesa, per i motivi appena esposti, priva di pertinenza e va quindi respinta.</w:t>
      </w:r>
    </w:p>
    <w:p>
      <w:r>
        <w:rPr>
          <w:b/>
        </w:rPr>
        <w:t>E. 9.3</w:t>
      </w:r>
    </w:p>
    <w:p>
      <w:r>
        <w:t>Come già illustrato in precedenza (cfr. consid. 7.3), la tassa di collegamento non ha effetti confiscatori e non intacca pertanto da questo profilo i diritti acquisiti della ricorrente. Il Consiglio di Stato spiega poi (risposta del 4 ottobre 2016 pag. 46 seg.) che, contrariamente a quanto asserito, non si deve necessariamente rinunciare ad una licenza edilizia per non pagare l'imposta. In effetti, la legge prevede due distinte situazioni, la collocazione fuori servizio dei posteggi e la loro dismissione (cfr. art. 35e e 35f LTPub). Nel primo caso viene solo inibito l'uso del posteggio (e il proprietario può quindi decidere, in ogni momento, di riutilizzarlo), che non viene conteggiato ai fini del calcolo dell'imposta, ma viene considerato ai fini dell'assoggettamento, senza possibili bonus. Nel secondo caso, vi è una rinuncia definitiva alla licenza edilizia e il posteggio non è conteggiato né ai fini dell'assoggettamento né per il calcolo dell'imposta ed entrano in considerazione dei bonus. Anche al riguardo non si può quindi considerare che dei diritti acquisiti sono stati lesi. La censura, infondata, va respinta. Aggiungasi che il principio della buona fede non consente di opporsi a un cambiamento di regolamentazione o di sottrarsi all'applicazione del nuovo diritto per il fatto di avere semplicemente preso determinate disposizioni sulla base del diritto anteriore ( DTF 122 V 405 consid. 3b/bb pag. 408 e rinvii). Come rilevato dal Consiglio di Stato, il rilascio di una licenza edilizia non esclude di principio che l'impianto e/o la costruzione oggetto della medesima sia poi assoggettato/a ad un'imposta.</w:t>
      </w:r>
    </w:p>
    <w:p>
      <w:r>
        <w:rPr>
          <w:b/>
        </w:rPr>
        <w:t>E. 9.4</w:t>
      </w:r>
    </w:p>
    <w:p>
      <w:r>
        <w:t>Riguardo alla richiesta di differire di un anno l'applicabilità delle nuove norme dalla loro entrata in vigore, va rammentato che l'interesse pubblico impone di massima che una modifica legislativa entri in vigore senza ritardi e, al riguardo, il legislatore beneficia di un ampio margine di apprezzamento: la giurisprudenza dà quindi prova di riserbo nel giudicare incostituzionale l'assenza di disposizioni transitorie ( DTF 122 V 405 consid. 3b/bb pag. 408 e riferimenti). Nel caso specifico, anche se il lasso di tempo inizialmente previsto tra la pubblicazione della LTPub e del RTColl e la loro entrata in vigore era breve, la questione non è più di attualità. In effetti, è stato concesso l'effetto sospensivo al procedimento (cfr. consid. 10.2) e, considerato il tempo trascorso da allora, non può più adesso essere sostenuto che non vi sia stato tempo a sufficienza per adottare i necessari provvedimenti. Anche su questo punto, il ricorso va respinto.</w:t>
      </w:r>
    </w:p>
    <w:p>
      <w:r>
        <w:rPr>
          <w:b/>
        </w:rPr>
        <w:t>E. 10.1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10.2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Considerato il tempo trascorso dal deposito del ricorso nonché il mandato conferito al Governo cantonale in virtù dell'art. 35t LTPub (vedasi su quest'ultimo aspetto consid. 5.5), l'entrata in vigore dev'essere fissata ex nunc. Il Consiglio di Stato è quindi invitato a fissare una nuova data per l'entrata in vigore delle norme contestate.</w:t>
      </w:r>
    </w:p>
    <w:p>
      <w:r>
        <w:rPr>
          <w:b/>
        </w:rPr>
        <w:t>E. 11</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