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747/2014 vom 6. August 2015</w:t>
      </w:r>
    </w:p>
    <w:p>
      <w:r>
        <w:t>Bundesgericht, 2015-08-06, FR</w:t>
      </w:r>
    </w:p>
    <w:p>
      <w:r>
        <w:rPr>
          <w:b/>
        </w:rPr>
        <w:t xml:space="preserve">Quelle: </w:t>
      </w:r>
      <w:r>
        <w:t>https://mcp.opencaselaw.ch/entscheid/bger_2C_747_2014</w:t>
      </w:r>
    </w:p>
    <w:p>
      <w:r>
        <w:t>FR: TF 2C 747/2014 du 6 août 2015</w:t>
      </w:r>
    </w:p>
    <w:p>
      <w:r>
        <w:t>IT: TF 2C 747/2014 del 6 agosto 2015</w:t>
      </w:r>
    </w:p>
    <w:p>
      <w:pPr>
        <w:pStyle w:val="Heading2"/>
      </w:pPr>
      <w:r>
        <w:t>Regeste</w:t>
      </w:r>
    </w:p>
    <w:p>
      <w:r>
        <w:t>retrait des appareils à sous servant au jeu d'adresse | Finances publiques &amp; droit fiscal</w:t>
      </w:r>
    </w:p>
    <w:p>
      <w:pPr>
        <w:pStyle w:val="Heading2"/>
      </w:pPr>
      <w:r>
        <w:t>Erwägungen</w:t>
      </w:r>
    </w:p>
    <w:p>
      <w:r>
        <w:rPr>
          <w:b/>
        </w:rPr>
        <w:t>E. 1</w:t>
      </w:r>
    </w:p>
    <w:p>
      <w:r>
        <w:t>L'arrêt attaqué est une décision finale ( art. 90 LTF ), rendue par une autorité cantonale supérieure de dernière instance ( art. 86 al. 1 let . d et al. 2 LTF) dans une cause de droit public ( art. 82 let. a LTF ) qui ne tombe pas sous le coup des exceptions de l' art. 83 LTF , de sorte qu'il peut en principe faire l'objet d'un recours en matière de droit public au Tribunal fédéral. Le mémoire de recours a été déposé en temps utile compte tenu des féries (cf. art. 46 al. 1 let. b et 100 al. 1 LTF) et dans les formes prescrites ( art. 42 LTF ) par la destinataire de l'acte attaqué, qui a un intérêt digne de protection à son annulation ou à sa modification, de sorte qu'il faut lui reconnaître la qualité pour recourir ( art. 89 al. 1 LTF ).</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2C_668/2013 du 19 juin 2014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2C_220/2014 du 4 juillet 2014, consid. 1.4)</w:t>
      </w:r>
    </w:p>
    <w:p>
      <w:r>
        <w:rPr>
          <w:b/>
        </w:rPr>
        <w:t>E. 3</w:t>
      </w:r>
    </w:p>
    <w:p>
      <w:r>
        <w:t>La recourante se plaint d'une mauvaise application de l'art. 8 de la loi vaudoise d'application de la LMJ (LVLMJ/VD; RS/VD 935.51) en lien avec les art. 3 al. 3 et 48 LMJ .</w:t>
      </w:r>
    </w:p>
    <w:p>
      <w:r>
        <w:rPr>
          <w:b/>
        </w:rPr>
        <w:t>E. 3.1</w:t>
      </w:r>
    </w:p>
    <w:p>
      <w:r>
        <w:t>Aux termes de l' art. 106 al. 1 Cst. , la Confédération légifère sur les jeux d'argent en tenant compte des intérêts des cantons. L' art. 106 al. 3 let . c Cst. prévoit cependant que l'autorisation et la surveillance des appareils à sous servant aux jeux d'adresse sont du ressort des cantons. Aux termes de l' art. 3 al. 3 LMJ , les appareils à sous servant aux jeux d'adresse sont des appareils qui proposent un jeu d'adresse dont le déroulement est en grande partie automatique, la chance de réaliser un gain dépendant de l'adresse du joueur. Contrairement aux appareils à sous servant aux jeux de hasard (cf. art. 3 al. 2 LMJ ), qui ne sont autorisés que dans les maisons de jeu qui bénéficient d'une concession (cf. art. 4 al. 1 LMJ ), les appareils à sous servant aux jeux d'adresse peuvent, en vertu du droit fédéral, être exploités en dehors des maisons de jeu (cf. art. 60 al. 3 LMJ ).</w:t>
      </w:r>
    </w:p>
    <w:p>
      <w:r>
        <w:rPr>
          <w:b/>
        </w:rPr>
        <w:t>E. 3.2</w:t>
      </w:r>
    </w:p>
    <w:p>
      <w:r>
        <w:t>Aux termes de l' art. 48 LMJ , la Commission fédérale veille au respect des dispositions de la législation sur les maisons de jeu et prend les décisions nécessaires à son application. La jurisprudence lui confère des compétences très larges destinées à assurer l'application uniforme du droit fédéral. La Commission fédérale est habilitée à déterminer si un jeu donné constitue un jeu de hasard et tombe ainsi sous le coup de la loi fédérale sur les maisons de jeu, ou s'il s'agit d'un jeu d'adresse relevant de la compétence des cantons (cf. ATF 136 II 291 consid. 3 p. 292 s.). Elle peut notamment ouvrir une "procédure d'assujettissement" en cas de doute sur la qualification d'un jeu de hasard et sur sa soumission à la législation sur les maisons de jeu (arrêts 2C_693/2011 du 10 avril 2012 consid. 5; 2C_186/2010 et 2C_187/2010 du 18 janvier 2011 consid. 4.3 non publié in ATF 137 II 222 et 2A.437/2004 du 1er décembre 2004 consid. 2.1; cf. aussi ATF 131 II 680 ). Lorsque la Commission fédérale arrive à la conclusion qu'un appareil à sous n'est pas un jeu de hasard ou lorsqu'il n'existe pas de doute sur la qualification d'un appareil et sur sa soumission à la LMJ, il appartient exclusivement aux autorités cantonales de déterminer si les jeux en cause peuvent ou non être exploités sur le territoire de leur canton. En d'autres termes, qu'un appareil à sous soit un appareil à sous servant aux jeux d'adresse au sens de l' art. 3 al. 3 LMJ ou un appareil automatique dit de divertissement, son exploitation dans les restaurants et autres locaux est autorisée par le droit fédéral, indépendamment de la question de savoir s'il y a des gains en argent ou pas. La question de son exploitation relève dès lors uniquement du droit cantonal.</w:t>
      </w:r>
    </w:p>
    <w:p>
      <w:r>
        <w:rPr>
          <w:b/>
        </w:rPr>
        <w:t>E. 3.3</w:t>
      </w:r>
    </w:p>
    <w:p>
      <w:r>
        <w:t>Dans le canton de Vaud, les appareils à sous servant aux jeux d'adresse ne sont pas autorisés en dehors des maisons de jeu (cf. art. 8 al. 1 LVLMJ/VD).</w:t>
      </w:r>
    </w:p>
    <w:p>
      <w:r>
        <w:rPr>
          <w:b/>
        </w:rPr>
        <w:t>E. 4</w:t>
      </w:r>
    </w:p>
    <w:p>
      <w:r>
        <w:t>Le litige porte sur le point de savoir si le Tribunal cantonal a confirmé à bon droit la décision du Service cantonal du 6 septembre 2013 selon laquelle les appareils litigieux constituent des appareils à sous servant aux jeux d'adresse au sens de l'art. 8 al. 1 LVLMJ/VD.</w:t>
      </w:r>
    </w:p>
    <w:p>
      <w:r>
        <w:rPr>
          <w:b/>
        </w:rPr>
        <w:t>E. 4.1</w:t>
      </w:r>
    </w:p>
    <w:p>
      <w:r>
        <w:t>En l'espèce, par deux décisions du 28 septembre 2009 et du 14 novembre 2012, la Commission fédérale a qualifié les appareils Golden-Bell, version 137 et Fruits-2-Mix, version 317 d'appareils à sous servant aux jeux d'adresse au sens de l' art. 3 al. 3 LMJ . Il ressort des faits constatés dans l'arrêt attaqué que la recourante a modifié les appareils depuis leur homologation par la Commission fédérale en tant qu'appareils à sous servant aux jeux d'adresse au sens de l' art. 3 al. 3 LMJ . Suite à cette modification, seules des parties gratuites peuvent être gagnées en jouant aux jeux de type Golden-Bell et Fruits-2-Mix (cf. arrêt attaqué, p. 8). La recourante n'a pas présenté les appareils "modifiés" à la Commission fédérale, conformément à l' art. 61 al. 1 OLMJ . Elle s'est cependant adressée à la Commission fédérale par courrier pour savoir s'il était possible "d'homologuer (pour le canton de VAUD) [ses] mêmes appareils comme appareils d'adresse ne servant qu'au divertissement, sans gain direct" (cf. arrêt attaqué, p. 3). Par courriel du 30 mai 2013, la Commission fédérale lui a notamment répondu qu'"un appareil qui présente un jeu d'adresse dont le déroulement est en grande partie automatique mais qui n'offre pas de perspective de gain, ni en argent, ni sous la forme d'un autre avantage matériel, échappe à la LMJ" et "les cantons sont seuls compétents pour légiférer sur les éventuelles conditions auxquelles un tel appareil peut être exploité sur leur territoire." Elle a ensuite précisé que "si l'appareil ne distribue pas d'argent mais d'autres avantages en nature tels que des parties gratuites au lieu des gains, il demeurait un appareil à sous servant au jeu d'adresse au sens de l' art. 3 LMJ . En tout état de cause, "qu'un jeu d'adresse automatique propose des gains ou non, son exploitation relève de la compétence exclusive des cantons [...]" (arrêt attaqué, p. 3).</w:t>
      </w:r>
    </w:p>
    <w:p>
      <w:r>
        <w:rPr>
          <w:b/>
        </w:rPr>
        <w:t>E. 4.2</w:t>
      </w:r>
    </w:p>
    <w:p>
      <w:r>
        <w:t>Dans l'arrêt attaqué, le Tribunal cantonal a considéré qu'il appartenait à la Commission fédérale de trancher la question de savoir si les appareils litigieux constituaient des appareils à sous servant aux jeux d'adresse au sens de l' art. 3 LMJ (cf. arrêt attaqué, p. 8). Dans la mesure où la recourante n'avait pas formulé de demande formelle de qualification auprès de la Commission fédérale et que celle-ci n'avait dès lors pas pris de décision à cet égard, le Tribunal cantonal en a conclu qu'en "l'absence de nouvelles décisions fédérales de qualification des jeux en cause", les appareils litigieux devaient être considérés comme des appareils à sous servant aux jeux d'adresse dont l'exploitation était interdite en dehors des maisons de jeu au bénéfice d'une concession, conformément à l'art. 8 al. 1 LVLMJ/VD (cf. arrêt attaqué, p. 9).</w:t>
      </w:r>
    </w:p>
    <w:p>
      <w:r>
        <w:rPr>
          <w:b/>
        </w:rPr>
        <w:t>E. 4.3</w:t>
      </w:r>
    </w:p>
    <w:p>
      <w:r>
        <w:t>La recourante reproche en substance à l'autorité précédente de ne pas avoir tranché la question de savoir si les appareils litigieux constituaient des appareils servant uniquement au divertissement - au même titre que des flippers ou des jeux de fléchettes - non soumis à la LMJ et dès lors à la LVLMJ/VD (cf. mémoire de recours, p. 10). Elle soutient que l'art. 8 LVLMJ/VD n'est pas applicable à ses appareils dans la mesure où "ce type de machines n'est pas visé par cette règle" (mémoire de recours, p. 13).</w:t>
      </w:r>
    </w:p>
    <w:p>
      <w:r>
        <w:rPr>
          <w:b/>
        </w:rPr>
        <w:t>E. 4.4</w:t>
      </w:r>
    </w:p>
    <w:p>
      <w:r>
        <w:t>D'après l'article 29a Cst., toute personne a droit à ce que sa cause soit jugée par une autorité judiciaire; la Confédération et les cantons peuvent, par la loi, exclure l'accès au juge dans des cas exceptionnels, qui ne sont pas réalisés en l'espèce (cf. ATF 134 V 443 consid. 3.1 p. 446; 130 I 388 consid. 4 p. 393). Il s'agit d'une garantie minimale de procédure qui s'impose aux cantons (arrêt 2C_138/2009 du 3 novembre 2009 consid. 4.1 et la référence citée). L' art. 29a Cst. vise à établir l'accès au juge, en particulier dans le but de soumettre les actes de l'administration à un contrôle juridictionnel ( ATF 130 I 312 consid. 4.2 p. 327 et les références citées). La violation de la garantie de l'accès au juge se confond avec le déni de justice lorsqu'une autorité judiciaire n'entre pas en matière sur une cause qui lui est soumise dans la forme et les délais prévus par la loi, alors qu'elle relève de sa compétence (arrêt 2C_138/2009 du 3 novembre 2009 consid. 4.1). Cette disposition garantit ainsi l'accès à un juge disposant d'un pouvoir d'examen complet des faits et du droit (cf. ATF 137 I 235 consid. 2.5 p. 239 et 2.5.2 p. 240 s.; arrêt 2C_187/2011 du 28 juillet 2011 consid. 5.2, non publié in ATF 137 II 425 ). Quant à l' art. 110 LTF , il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En vertu de l' art. 110 LTF , le Tribunal cantonal, lorsqu'il statue en tant qu'autorité judiciaire de première instance, ne peut limiter son examen à l'arbitraire (cf. arrêts 2C_187/2011 du 28 juillet 2011 consid. 5.2, non publié in ATF 137 II 425 et 1C_88/2011 du 15 juin 2011 consid. 4.3.3).</w:t>
      </w:r>
    </w:p>
    <w:p>
      <w:r>
        <w:rPr>
          <w:b/>
        </w:rPr>
        <w:t>E. 4.5</w:t>
      </w:r>
    </w:p>
    <w:p>
      <w:r>
        <w:t>En l'occurrence, force est de constater que le Tribunal cantonal ne s'est pas prononcé sur la question litigieuse, soit celle de savoir si les appareils modifiés de la recourante - en ce sens qu'ils n'offrent que des parties gratuites - sont des appareils à sous servant aux jeux d'adresse dont l'exploitation est interdite dans le canton de Vaud en dehors des maisons de jeu au bénéfice d'une concession conformément à l'art. 8 al. 1 LVLMJ/VD ou doivent, au contraire, être considérés comme des appareils automatiques dits de divertissement au même titre que les flippers, jeux de fléchettes et autres jeux vidéos, comme le soutient la recourante. Le Tribunal cantonal devait se prononcer sur cette question qui relève de sa compétence (cf. supra consid. 3) et ne pouvait pas sans autre se fonder sur l'absence de nouvelle décision fédérale de qualification des jeux en cause pour justifier l'interdiction d'exploiter les appareils en vertu de l'art. 8 al. 1 LVLMJ/VD. L'arrêt attaqué a ainsi pour conséquence qu'aucune instance judiciaire ne s'est prononcée sur cette question, privant ainsi la recourante de l'accès à un juge. Une telle limitation n'est compatible ni avec l' art. 29a Cst. , ni avec l' art. 110 LTF , qui garantissent pour tous les litiges l'accès à au moins un tribunal qui peut contrôler exhaustivement les questions de fait et de droit (cf. arrêt 2D_2/2015 du 22 mai 2015 consid. 7.5 et supra consid. 4.4). En procédant ainsi, le Tribunal cantonal a dès lors violé les art. 29a Cst. et 110 LTF.</w:t>
      </w:r>
    </w:p>
    <w:p>
      <w:r>
        <w:rPr>
          <w:b/>
        </w:rPr>
        <w:t>E. 5</w:t>
      </w:r>
    </w:p>
    <w:p>
      <w:r>
        <w:t>Les considérants qui précèdent conduisent à l'annulation de l'arrêt du 30 juin 2014 et au renvoi de la cause à l'instance précédente pour qu'elle se prononce sur la question de savoir si les appareils litigieux sont soumis à l'application de l'art. 8 al. 1 LVLMJ/VD. Il n'y a pas lieu de percevoir de frais judiciaires ( art. 66 al. 4 LTF ). La recourante étant représentée par un avocat, des dépens lui seront alloués; ils seront mis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