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2C_745/2007 vom 15. Januar 2008</w:t>
      </w:r>
    </w:p>
    <w:p>
      <w:r>
        <w:t>Bundesgericht, 2008-01-15, DE</w:t>
      </w:r>
    </w:p>
    <w:p>
      <w:r>
        <w:rPr>
          <w:b/>
        </w:rPr>
        <w:t xml:space="preserve">Quelle: </w:t>
      </w:r>
      <w:r>
        <w:t>https://mcp.opencaselaw.ch/entscheid/bger_2C_745_2007</w:t>
      </w:r>
    </w:p>
    <w:p>
      <w:r>
        <w:t>FR: TF 2C_745/2007 du 15 janvier 2008</w:t>
      </w:r>
    </w:p>
    <w:p>
      <w:r>
        <w:t>IT: TF 2C_745/2007 del 15 gennaio 2008</w:t>
      </w:r>
    </w:p>
    <w:p>
      <w:pPr>
        <w:pStyle w:val="Heading2"/>
      </w:pPr>
      <w:r>
        <w:t>Erwägungen</w:t>
      </w:r>
    </w:p>
    <w:p>
      <w:r>
        <w:rPr>
          <w:b/>
        </w:rPr>
        <w:t>E. 1.1</w:t>
      </w:r>
    </w:p>
    <w:p>
      <w:r>
        <w:t>Das kantonale Ausweisungsverfahren wurde mit dem angefochtenen Entscheid am 7. November 2007 abgeschlossen. In analoger Anwendung von Art. 126 Abs. 1 des am 1. Januar 2008 in Kraft getretenen Bundesgesetzes vom 16. Dezember 2005 über die Ausländerinnen und Ausländer (AuG; SR 142.20) bleibt in materieller Hinsicht das bisherige Recht anwendbar.</w:t>
      </w:r>
    </w:p>
    <w:p>
      <w:r>
        <w:rPr>
          <w:b/>
        </w:rPr>
        <w:t>E. 1.2</w:t>
      </w:r>
    </w:p>
    <w:p>
      <w:r>
        <w:t>Gemäss Art. 10 Abs. 1 lit. a ANAG kann ein Ausländer aus der Schweiz ausgewiesen werden, wenn er wegen eines Verbrechens oder Vergehens gerichtlich bestraft wurde.</w:t>
      </w:r>
    </w:p>
    <w:p>
      <w:r>
        <w:t>Die Ausweisung soll jedoch nur ausgesprochen werden, wenn die nach Art. 11 Abs. 3 ANAG gebotene Interessenabwägung diese Massnahme als verhältnismässig erscheinen lässt. Dabei sind namentlich die Schwere seines Verschuldens, die Dauer der Anwesenheit sowie die dem Betroffenen und seiner Familie drohenden Nachteile zu berücksichtigen (vgl. Art. 16 Abs. 3 der Vollziehungsverordnung vom 1. März 1949 zum ANAG [ANAV; SR 142.201]).</w:t>
      </w:r>
    </w:p>
    <w:p>
      <w:r>
        <w:rPr>
          <w:b/>
        </w:rPr>
        <w:t>E. 1.3</w:t>
      </w:r>
    </w:p>
    <w:p>
      <w:r>
        <w:t>Der Beschwerdeführer räumt - wie bereits vor dem Verwaltungsgericht - selber ein, dass der Ausweisungsgrund von Art. 10 Abs. 1 lit. a ANAG erfüllt ist. Er bestreitet jedoch die Verhältnismässigkeit seiner Ausweisung; diese verstosse auch gegen Art. 8 EMRK .</w:t>
      </w:r>
    </w:p>
    <w:p>
      <w:r>
        <w:rPr>
          <w:b/>
        </w:rPr>
        <w:t>E. 1.4</w:t>
      </w:r>
    </w:p>
    <w:p>
      <w:r>
        <w:t>Der heute 43-jährige Beschwerdeführer ist im Alter von 28 Jahren in die Schweiz gekommen. Er ist damit kein Ausländer der zweiten Generation, für welchen eine Ausweisung nur unter ganz restriktiven Voraussetzungen zulässig wäre (vgl. dazu BGE 130 II 176 E. 4.4.2 S. 190, mit Hinweisen).</w:t>
      </w:r>
    </w:p>
    <w:p>
      <w:r>
        <w:rPr>
          <w:b/>
        </w:rPr>
        <w:t>E. 1.5</w:t>
      </w:r>
    </w:p>
    <w:p>
      <w:r>
        <w:t>Die Vorinstanz hat im Einklang mit der einschlägigen - bei Betäubungsmitteldelikten strengen - bundesgerichtlichen Rechtsprechung und unter Berücksichtigung der massgebenden Gesichtspunkte ausführlich und umfassend begründet, dass die Ausweisung des Beschwerdeführers für zehn Jahre Art. 8 Ziff. 1 EMRK bzw. Art. 13 Abs. 1 BV nicht verletzt und verhältnismässig ist (angefochtenes Urteil E. 3 bis 6). Es kann auf diese zutreffenden Ausführungen verwiesen werden. Was der Beschwerdeführer dagegen vorbringt, vermag die von den Vorinstanzen bejahte Verhältnismässigkeit nicht in Frage zu stellen. Anzufügen bleibt, dass der Beschwerdeführer mit seinen Verurteilungen zu Freiheitsstrafen von insgesamt fünf Jahren und neun Monaten selber dazu beigetragen hat, dass er nun bereits seit längerem von seiner Familie getrennt ist und das von ihm angerufene Familienleben nur in einem sehr beschränkten Rahmen gepflegt werden kann. Von einer vollen Integration des Beschwerdeführers kann angesichts der verbindlichen Feststellungen der Vorinstanz nicht gesprochen werden: Seine Ehefrau spricht nicht Deutsch, und seine sozialen Kontakte beschränken sich im Wesentlichen auf seine Familie und seine hier lebenden Verwandten. Die Vorinstanz hat die in diesem Zusammenhang erforderliche sorgfältige Interessenabwägung nach zutreffenden Gesichtspunkten und unter haltbarer Wertung und Gewichtung derselben vorgenommen; eine Ermessensüberschreitung ist nicht zu erkennen.</w:t>
      </w:r>
    </w:p>
    <w:p>
      <w:r>
        <w:rPr>
          <w:b/>
        </w:rPr>
        <w:t>E. 2</w:t>
      </w:r>
    </w:p>
    <w:p>
      <w:r>
        <w:t>Die Beschwerde ist aus diesen Gründen abzuweisen. Da sich die Rechtsbegehren des Beschwerdeführers als von vornherein aussichtslos erweisen, kann ihm die unentgeltliche Rechtspflege nicht gewährt werden ( Art. 64 BGG ). Bei diesem Ausgang hat 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