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2C_744/2022 vom 16. Dezember 2022</w:t>
      </w:r>
    </w:p>
    <w:p>
      <w:r>
        <w:t>Bundesgericht, 2022-12-16, DE</w:t>
      </w:r>
    </w:p>
    <w:p>
      <w:r>
        <w:rPr>
          <w:b/>
        </w:rPr>
        <w:t xml:space="preserve">Quelle: </w:t>
      </w:r>
      <w:r>
        <w:t>https://mcp.opencaselaw.ch/entscheid/bger_2C_744_2022</w:t>
      </w:r>
    </w:p>
    <w:p>
      <w:r>
        <w:t>FR: TF 2C_744/2022 du 16 décembre 2022</w:t>
      </w:r>
    </w:p>
    <w:p>
      <w:r>
        <w:t>IT: TF 2C_744/2022 del 16 dicembre 2022</w:t>
      </w:r>
    </w:p>
    <w:p>
      <w:pPr>
        <w:pStyle w:val="Heading2"/>
      </w:pPr>
      <w:r>
        <w:t>Erwägungen</w:t>
      </w:r>
    </w:p>
    <w:p>
      <w:r>
        <w:rPr>
          <w:b/>
        </w:rPr>
        <w:t>E. 1.1</w:t>
      </w:r>
    </w:p>
    <w:p>
      <w:r>
        <w:t>Die A.________ mit Sitz in U.________/AR wurde von der kantonalen Steuerverwaltung Appenzell Ausserrhoden am 23. Juli 2019 mit einer ersten Mahnung darauf hingewiesen, dass die Frist zur Einreichung der Steuererklärung 2018 abgelaufen sei. Sie wurde aufgefordert, die Steuererklärung samt Beilagen innert 20 Tagen einzureichen oder eine Fristverlängerung zu beantragen; andernfalls werde eine Ermessensveranlagung vorgenommen. Am 10. September 2019 mahnte die kantonale Steuerverwaltung Appenzell Ausserrhoden erneut. Mit Mitteilung vom 8. Oktober 2019 gewährte die kantonale Steuerverwaltung eine Fristverlängerung zur Einreichung der Steuererklärung 2018 bis Ende Dezember 2019. Nach diverser Korrespondenz zwischen der kantonalen Steuerverwaltung und dem Rechtsvertreter der A.________ schickte dieser der kantonalen Steuerverwaltung schliesslich einen "Fahrplan 2020" zu und schlug darin (u.a.) vor, die Frist zur Einreichung der hier betroffenen Steuererklärung 2018 der Beschwerdeführerin bis zum 30. Oktober 2020 zu erstrecken. Mit E-Mail vom 4. Mai 2020 genehmigte die kantonale Steuerverwaltung diese Fristerstreckung und machte gleichzeitig ausdrücklich darauf aufmerksam, dass bei Nichteinreichen der Steuererklärung innert Frist eine Ermessensveranlagung drohe. Mit einem neuen "Fahrplan 2021" vom 11. bzw. 19. Januar 2021 gewährte die kantonale Steuerverwaltung der A.________ erneut verlängerte Fristen zur Einreichung der Steuererklärungen 2018. Die Einreichefrist für die Steuererklärung 2018 der A.________ wurde gemäss "Fahrplan 2021" neu auf den 28. Februar 2021 festgelegt. Ein erneutes Fristverlängerungsgesuch des Rechtsvertreters der A.________ mit E-Mail vom 19. Januar 2021 beantwortete die Steuerkommissärin mit E-Mail vom 20. Januar 2021 abschlägig. Sie stellte klar, dass die im Fristenfahrplan aufgeführten Fristen als allerletzte Fristen gelten und nicht mehr erstreckt werden könnten; die bereits erfolgten Mahnungen seien nicht zurückgezogen worden.</w:t>
      </w:r>
    </w:p>
    <w:p>
      <w:r>
        <w:rPr>
          <w:b/>
        </w:rPr>
        <w:t>E. 1.2</w:t>
      </w:r>
    </w:p>
    <w:p>
      <w:r>
        <w:t>Am 9. März 2021 veranlagte die kantonale Steuerverwaltung die A.________ für die Steuerperiode 2018 nach Ermessen. Bei der direkten Bundessteuer setzte die kantonale Steuerverwaltung den steuerbaren Gewinn auf Fr. 500'000.-- fest und erhob einen Steuerbetrag von Fr. 42'500.--. Bei den Staats- und Gemeindesteuern setzte die kantonale Steuerverwaltung den steuerbaren Gewinn ebenfalls auf Fr. 500'000.-- und das steuerbare Kapital auf Fr. 2'500'000.-- fest und erhob einen Steuerbetrag von Fr. 34'325.--. Mit Schreiben vom 3. März 2021 an die kantonale Steuerverwaltung hatte der Rechtsvertreter der A.________ erneut um Fristerstreckungen u.a. zur Einreichung der Steuererklärung 2018 der A.________ bis Ende März 2021 ersucht. Mit Schreiben vom 16. März 2021 teilte die kantonale Steuerverwaltung dem Rechtsvertreter der A.________ mit, die letzten Fristen zur Einreichung der Steuererklärungen 2018 seien am 28. Februar 2021 ausgelaufen, woraufhin die Ermessensveranlagungen erstellt und am 9. März 2021 automatisiert verschickt worden seien. Da es sich um letzte Fristen gehandelt habe, sei keine weitere Fristerstreckung möglich gewesen.</w:t>
      </w:r>
    </w:p>
    <w:p>
      <w:r>
        <w:t>Gegen die Ermessensveranlagungen 2018 vom 9. März 2021 erhob die A.________ am 9. April 2021 Einsprache. Mit Einspracheentscheid vom 7. Mai 2021 trat die kantonale Steuerverwaltung mangels Einreichung der Steuererklärung oder anderweitigen Unrichtigkeitsnachweises auf die Einsprache nicht ein. Eine Beschwerde hiergegen wies das Obergericht des Kantons Appenzell Ausserrhoden mit Urteil vom 5. Juli 2022 ab.</w:t>
      </w:r>
    </w:p>
    <w:p>
      <w:r>
        <w:rPr>
          <w:b/>
        </w:rPr>
        <w:t>E. 1.3</w:t>
      </w:r>
    </w:p>
    <w:p>
      <w:r>
        <w:t>Mit Beschwerde in öffentlich-rechtlichen Angelegenheiten vom 13. September 2022 beantragt die A.________, es sei festzustellen, dass die Ermessensveranlagungen vom 9. März 2021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w:t>
      </w:r>
    </w:p>
    <w:p>
      <w:r>
        <w:t>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w:t>
      </w:r>
    </w:p>
    <w:p>
      <w:r>
        <w:t>Dieses Vorbringen ist offensichtlich unbegründet, soweit es mit Blick auf die gerügten Verfassungsverletzungen überhaupt genügend substanziiert ist ( Art. 106 Abs. 2 BGG ). Die kantonale Steuerverwaltung hatte die Beschwerdeführerin mehrmals gemahnt und die Einreichefrist für die Steuererklärung mehrmals erstreckt. Bloss weil sie knapp zwei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das letzte Fristerstreckungsgesuch der Beschwerdeführerin vom 3. März 2021 nicht mehr berücksichtigte, bevor sie zur Ermessensveranlagung schritt, zumal dieses Gesuch erst nach Ablauf der letztmals erstreckten Frist am 28. Februar 2021 gestellt worden war (oben E. 1.1).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w:t>
      </w:r>
    </w:p>
    <w:p>
      <w:r>
        <w:t>Auch dieses Vorbringen ist offensichtlich unbegründet. Wie die Vorinstanz für das Bundesgericht grundsätzlich verbindlich festgestellt hat ( Art. 105 Abs. 1 BGG ), hatte die kantonale Steuerverwaltung den Rechtsvertreter der Beschwerdeführerin ausdrücklich darauf hingewiesen, dass die Mahnungen nicht zurückgezogen worden seien.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w:t>
      </w:r>
    </w:p>
    <w:p>
      <w:r>
        <w:t>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 Art. 109 Abs. 2 lit. a BGG ).</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