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2C_741/2022 vom 7. März 2023</w:t>
      </w:r>
    </w:p>
    <w:p>
      <w:r>
        <w:t>Bundesgericht, 2023-03-07, FR</w:t>
      </w:r>
    </w:p>
    <w:p>
      <w:r>
        <w:rPr>
          <w:b/>
        </w:rPr>
        <w:t xml:space="preserve">Quelle: </w:t>
      </w:r>
      <w:r>
        <w:t>https://mcp.opencaselaw.ch/entscheid/bger_2C_741_2022</w:t>
      </w:r>
    </w:p>
    <w:p>
      <w:r>
        <w:t>FR: TF 2C_741/2022 du 7 mars 2023</w:t>
      </w:r>
    </w:p>
    <w:p>
      <w:r>
        <w:t>IT: TF 2C_741/2022 del 7 marzo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La République et canton de Genève a mis en place différentes aides financières en faveur des entreprises en lien avec l'épidémie de Covid-19: certaines reprennent les conditions de l'ordonnance fédérale du 25 novembre 2020 concernant les mesures pour les cas de rigueur destinées aux entreprises en lien avec l'épidémie de Covid-19 (Ordonnance Covid-19 cas de rigueur 2020, OMCR 20; RS 951.262) et pour lesquelles le canton bénéfice d'une participation financière de la Confédération au sens de cette ordonnance; d'autres, purement cantonales, ne bénéficient pas du soutien financier de la Confédération, faute pour les entreprises concernées de remplir les critères de l'OMCR 20.</w:t>
      </w:r>
    </w:p>
    <w:p>
      <w:r>
        <w:t>Le Tribunal fédéral a déjà jugé que ces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comme cela est le cas en l'espèce, étaient des subventions au sens de l' art. 83 let . k LTF. Il a également retenu que les aides financières cantonales reposant sur les art. 9 et 10 LAFE/GE-2021 étaient des subventions auxquelles la législation ne donnait aucun droit (cf. arrêt 2C_711/2022 du 9 décembre 2022 consid. 1.2 ss).</w:t>
      </w:r>
    </w:p>
    <w:p>
      <w:r>
        <w:rPr>
          <w:b/>
        </w:rPr>
        <w:t>E. 1.3</w:t>
      </w:r>
    </w:p>
    <w:p>
      <w:r>
        <w:t>Par ailleurs, le Tribunal fédéral a jugé que ni l'art. 12 de la loi fédérale du 25 septembre 2020 sur les bases légales des ordonnances du Conseil fédéral visant à surmonter l'épidémie de Covid-19 (Loi Covid-19; RS 818.102), qui fixe les principes régissant les aides financières pour cas de rigueur versées par la Confédération, ni l'OMCR 20, qui met en oeuvre ces principes, n'ouvraient un droit à l'octroi des aides financières concernées, ces textes ne faisant que fixer les conditions minimales pour que la Confédération participe financièrement aux programmes de soutien aux entreprises mis en place par les cantons (cf. arrêt 2C_8/2022 du 28 septembre 2022 consid. 1.3.4).</w:t>
      </w:r>
    </w:p>
    <w:p>
      <w:r>
        <w:rPr>
          <w:b/>
        </w:rPr>
        <w:t>E. 1.4</w:t>
      </w:r>
    </w:p>
    <w:p>
      <w:r>
        <w:t>En l'espèce, le point de savoir si la législation concernant les aides complémentaires donne droit aux subventions en cause n'est pas évident. Aucun élément ressortant de l'arrêt attaqué, des écritures de la recourante ou des déterminations du Département cantonal déposées devant la Cour de céans ne permettent de trancher cette question qui nécessite une analyse détaillée des dispositions cantonales applicables, dispositions que le Tribunal fédéral n'examine pas librement (cf. art. 95 LTF ). Il incombait donc à la recourante d'exposer en quoi le motif d'exclusion de l' art. 83 let . k LTF n'entrait pas en considération en l'espèce ( art. 42 al. 2 LTF ; arrêt 2C_631/2022 du 8 novembre 2022 consid. 1.3), ce qu'elle ne fait pas.</w:t>
      </w:r>
    </w:p>
    <w:p>
      <w:r>
        <w:rPr>
          <w:b/>
        </w:rPr>
        <w:t>E. 1.5</w:t>
      </w:r>
    </w:p>
    <w:p>
      <w:r>
        <w:t>Partant, le Tribunal fédéral n'étant pas en mesure d'examiner si le recours échappe à la clause d'irrecevabilité de l' art. 83 let . k LTF, faute de motivation suffisante, la voie du recours en matière de droit public est exclue.</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2.2</w:t>
      </w:r>
    </w:p>
    <w:p>
      <w:r>
        <w:t>En l'espèce, comme on vient de le voir, la recourante ne démontre pas disposer d'un droit à l'octroi de la subvention litigieuse (cf.</w:t>
      </w:r>
    </w:p>
    <w:p>
      <w:r>
        <w:t>supra consid. 1.4), alors qu'il lui incombait d'alléguer les éléments propres à fonder sa qualité pour recourir (cf. art. 42 al. 1 et 2 LTF ; ATF 141 IV 1 consid. 1.1). La recourante ne peut dès lors pas déduire un intérêt juridiquement protégé au sens de l' art. 115 let. b LTF des dispositions légales applicables en l'espèce en matière de subventions.</w:t>
      </w:r>
    </w:p>
    <w:p>
      <w:r>
        <w:rPr>
          <w:b/>
        </w:rPr>
        <w:t>E. 2.3</w:t>
      </w:r>
    </w:p>
    <w:p>
      <w:r>
        <w:t>L' art. 49 al. 1 Cst. , invoqué par la recourante, qui fixe le principe de la primauté du droit fédéral, peut cependant fonder, en matière de subventions, un intérêt juridiquement protégé ouvrant la voie du recours constitutionnel subsidiaire (cf. arrêt 2C_8/2022 du 28 septembre 2022 consid. 2.2). Ainsi, le grief de violation de l' art. 49 Cst. formulé par la recourante est recevable dans son principe, sous l'angle de l' art. 115 let. b LTF .</w:t>
      </w:r>
    </w:p>
    <w:p>
      <w:r>
        <w:rPr>
          <w:b/>
        </w:rPr>
        <w:t>E. 2.3.1</w:t>
      </w:r>
    </w:p>
    <w:p>
      <w:r>
        <w:t>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2.3.2</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146 II 309 consid. 4.1 et les références). Cependant, quand bien même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 ATF 133 I 110 consid. 4.1).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143 I 109 consid. 4.2.2 et les références).</w:t>
      </w:r>
    </w:p>
    <w:p>
      <w:r>
        <w:rPr>
          <w:b/>
        </w:rPr>
        <w:t>E. 2.3.3</w:t>
      </w:r>
    </w:p>
    <w:p>
      <w:r>
        <w:t>En l'espèce, la recourante fait valoir qu'en adoptant la loi fédérale du 17 juin 2005 concernant des mesures en matière de lutte contre le travail au noir (LTN; RS 822.41), la Confédération a exhaustivement traité cette problématique. Elle en déduit que l' art. 5 let . c LAFE/GE-2021, en vertu duquel une entreprise ne doit pas figurer sur les listes d'entreprises ayant contrevenu à la législation visant à lutter contre le travail au noir pour être éligibles aux aides financières, serait contraire à l' art. 49 al. 1 Cst. A l'appui de sa critique, la recourante n'explique cependant pas de manière circonstanciée en quoi le principe de la primauté du droit fédéral découlant de cette disposition serait applicable en l'espèce, alors que la LAFE/GE-2021 vise manifestement un autre but que la LTN et que la jurisprudence précédemment citée ne prévoit pas l'application de ce principe dans ces circonstances. Son argumentation ne respecte dès lors pas les exigences minimales de motivation de l' art. 106 al. 2 LTF . En conséquence, il ne sera pas entré en matière sur ce grief.</w:t>
      </w:r>
    </w:p>
    <w:p>
      <w:r>
        <w:rPr>
          <w:b/>
        </w:rPr>
        <w:t>E. 2.4</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w:t>
      </w:r>
    </w:p>
    <w:p>
      <w:r>
        <w:t>Star-Praxis "; cf. ATF 141 IV 1 consid. 1.1; 137 II 305 consid. 2; arrêt 2D_32/2022 du 25 novembre 2022 consid. 2.2). La possibilité d'invoquer des garanties procédurales ne saurait permettre en effet de remettre en cause, même de façon indirecte, la décision sur le fond ( ATF 141 IV 1 consid. 1.1; 138 IV 78 consid. 1.3; 129 I 217 consid. 1.4). Seuls les griefs de nature formelle qui sont séparés de l'examen de la cause au fond peuvent donc être présentés. En revanche, les griefs qui reviennent</w:t>
      </w:r>
    </w:p>
    <w:p>
      <w:r>
        <w:t>de facto à critiquer la décision attaquée sur le plan matériel sont exclus. La partie recourante ne peut ainsi ni critiquer l'appréciation des preuves, ni faire valoir que la motivation n'est pas correcte d'un point de vue matériel (cf. ATF 137 II 305 consid. 2; arrêt 2D_32/2022 du 25 novembre 2022 consid. 2.2 et les autres références).</w:t>
      </w:r>
    </w:p>
    <w:p>
      <w:r>
        <w:rPr>
          <w:b/>
        </w:rPr>
        <w:t>E. 2.4.1</w:t>
      </w:r>
    </w:p>
    <w:p>
      <w:r>
        <w:t>Dans son mémoire, la recourante fait valoir que, dans l'arrêt attaqué, la Cour de justice se serait rendue coupable de formalisme excessif ( art. 29 al. 1 Cst. ) et de violation de son droit d'être entendue ( art. 29 al. 2 Cst. ) en n'examinant pas le grief de violation du principe d'interdiction du formalisme excessif soulevé devant elle. Tant le principe de l'interdiction du formalisme excessif que le droit d'être entendu sont des garanties procédurales de nature formelle dont le Tribunal fédéral est susceptible d'examiner la violation dans le cadre d'un recours constitutionnel subsidiaire lorsque la partie recourante n'a pas la qualité pour recourir au fond, pour autant que cet examen ne conduise pas à examiner l'arrêt attaqué sur le plan matériel (cf.</w:t>
      </w:r>
    </w:p>
    <w:p>
      <w:r>
        <w:t>supra consid. 2.4).</w:t>
      </w:r>
    </w:p>
    <w:p>
      <w:r>
        <w:rPr>
          <w:b/>
        </w:rPr>
        <w:t>E. 2.4.2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En tant que l'interdiction du formalisme excessif sanctionne un comportement répréhensible de l'autorité dans ses relations avec le justiciable, elle poursuit le même but que le principe de la bonne foi ( art. 5 al. 3 et 9 Cst. ; ATF 145 I 201 consid. 4.2.1).</w:t>
      </w:r>
    </w:p>
    <w:p>
      <w:r>
        <w:rPr>
          <w:b/>
        </w:rPr>
        <w:t>E. 2.4.3</w:t>
      </w:r>
    </w:p>
    <w:p>
      <w:r>
        <w:t>En l'espèce, la recourante fait valoir qu'en appliquant de manière stricte l' art. 5 let . c LAFE/GE-2021 et en refusant sur cette base de reconnaître qu'elle était éligible aux aides financières litigieuses, la Cour de justice se serait rendue coupable de formalisme excessif. La recourante ne s'en prend ainsi pas à l'application stricte d'une règle de procédure, mais d'une disposition de droit matériel cantonal. C'est donc à tort que la recourante invoque une violation du principe de l'interdiction du formalisme excessif. Partant, ce grief, qui relève en réalité du droit de fond et non du droit de procédure, est irrecevable sous l'angle de la</w:t>
      </w:r>
    </w:p>
    <w:p>
      <w:r>
        <w:t>Star-praxis (cf.</w:t>
      </w:r>
    </w:p>
    <w:p>
      <w:r>
        <w:t>supra consid. 2.4).</w:t>
      </w:r>
    </w:p>
    <w:p>
      <w:r>
        <w:rPr>
          <w:b/>
        </w:rPr>
        <w:t>E. 2.4.4</w:t>
      </w:r>
    </w:p>
    <w:p>
      <w:r>
        <w:t>S'agissant de son grief de violation du droit d'être entendu, la recourante reproche à la Cour de justice de ne pas avoir traité le grief de violation du principe de l'interdiction du formalisme soulevé devant elle, dans lequel elle se plaignait d'une stricte application de l' art. 5 let . c LAFE/GE (p. 12 s du recours déposé devant la Cour de justice). Dans ce contexte, c'est également à tort que la recourante invoque une violation du principe de l'interdiction du formalisme excessif en lien avec une disposition de droit matériel. Il apparaît ainsi que, pour trancher le bien-fondé de la critique de violation du droit d'être entendu formulé devant l'autorité de céans, il est nécessaire d'examiner si, dans l'arrêt attaqué, la Cour de justice examine au moins brièvement la manière dont l' art. 5 let . c LAFE/GE, disposition de droit matériel, doit être appliqué (cf. ATF 141 V 557 consid. 3.2.1 et les arrêts cités). Une telle analyse est indissociable du fond de la cause. En conséquence, le grief de violation du droit d'être entendu formulé par la recourante est également irrecevable.</w:t>
      </w:r>
    </w:p>
    <w:p>
      <w:r>
        <w:rPr>
          <w:b/>
        </w:rPr>
        <w:t>E. 2.5</w:t>
      </w:r>
    </w:p>
    <w:p>
      <w:r>
        <w:t>Partant, traité comme un recours constitutionnel subsidiaire, le recours n'est pas non plus recevable.</w:t>
      </w:r>
    </w:p>
    <w:p>
      <w:r>
        <w:rPr>
          <w:b/>
        </w:rPr>
        <w:t>E. 3</w:t>
      </w:r>
    </w:p>
    <w:p>
      <w:r>
        <w:t>Sur le vu de ce qui précède, le recours est irrecevable.</w:t>
      </w:r>
    </w:p>
    <w:p>
      <w:r>
        <w:t>Les frais judiciaires, réduits,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