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2C_741/2013 vom 8. April 2014</w:t>
      </w:r>
    </w:p>
    <w:p>
      <w:r>
        <w:t>Bundesgericht, 2014-04-08, DE</w:t>
      </w:r>
    </w:p>
    <w:p>
      <w:r>
        <w:rPr>
          <w:b/>
        </w:rPr>
        <w:t xml:space="preserve">Quelle: </w:t>
      </w:r>
      <w:r>
        <w:t>https://mcp.opencaselaw.ch/entscheid/bger_2C_741_2013</w:t>
      </w:r>
    </w:p>
    <w:p>
      <w:r>
        <w:t>FR: TF 2C_741/2013 du 8 avril 2014</w:t>
      </w:r>
    </w:p>
    <w:p>
      <w:r>
        <w:t>IT: TF 2C_741/2013 del 8 aprile 2014</w:t>
      </w:r>
    </w:p>
    <w:p>
      <w:pPr>
        <w:pStyle w:val="Heading2"/>
      </w:pPr>
      <w:r>
        <w:t>Erwägungen</w:t>
      </w:r>
    </w:p>
    <w:p>
      <w:r>
        <w:rPr>
          <w:b/>
        </w:rPr>
        <w:t>E. 1.1</w:t>
      </w:r>
    </w:p>
    <w:p>
      <w:r>
        <w:t>Grundsätzlich besteht ein Anspruch auf den Fortbestand einer bereits erteilten Niederlassungsbewilligung. Wird die Niederlassungsbewilligung widerrufen, so steht gegen den letztinstanzlichen kantonalen Entscheid die Beschwerde in öffentlich-rechtlichen Angelegenheiten offen (Art. 82 lit. a, Art. 83 lit. c [e contrario], Art. 86 Abs. 1 lit. d und Art. 90 BGG ; BGE 135 II 1 E. 1.2.1 S. 4).</w:t>
      </w:r>
    </w:p>
    <w:p>
      <w:r>
        <w:rPr>
          <w:b/>
        </w:rPr>
        <w:t>E. 1.2</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auf einer willkürlichen Feststellung beruht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t>Eine Verletzung von Art. 9 und 14 BV wurde nicht in rechtsgenüglicher Weise begründet, weshalb auf diese Rüge nicht eingetreten werden kann.</w:t>
      </w:r>
    </w:p>
    <w:p>
      <w:r>
        <w:rPr>
          <w:b/>
        </w:rPr>
        <w:t>E. 2</w:t>
      </w:r>
    </w:p>
    <w:p>
      <w:r>
        <w:t>Der Beschwerdeführer bestreitet, dass von ihm eine gegenwärtige oder künftige, tatsächliche und hinreichende Gefährdung der öffentlichen Sicherheit und Ordnung ausgehe. Die begangenen Straftaten habe er vollumfänglich auf Grund seiner schweren Betäubungsmittelabhängigkeit begangen. Zudem unterhalte er enge Beziehungen zu seiner Mutter und seinen Brüdern, während er in Italien keine Verwandten habe und zu diesem Land keine Beziehungen pflege. Würde er dazu verhalten, die Schweiz zu verlassen, so verlöre er die sozialen und familiären Bindungen. Sein privates Interesse an einem Verbleib in der Schweiz überwiege das öffentliche Interesse an einer Fernhaltung bei weitem. Das angefochtene Urteil erweise sich als rechtswidrig, unangemessen und verstosse gegen Art. 9 und 14 BV , Art. 5 Anhang I des Abkommens vom 21. Juni 1999 zwischen der Schweizerischen Eidgenossenschaft einerseits und der Europäischen Gemeinschaft und ihren Mitgliedstaaten andererseits über die Freizügigkeit (FZA; SR 0.142.112.681) sowie gegen Art. 8 EMRK .</w:t>
      </w:r>
    </w:p>
    <w:p>
      <w:r>
        <w:rPr>
          <w:b/>
        </w:rPr>
        <w:t>E. 2.1</w:t>
      </w:r>
    </w:p>
    <w:p>
      <w:r>
        <w:t>Auf Staatsangehörige von Mitgliedstaaten der Europäischen Union ist das Bundesgesetz über die Ausländerinnen und Ausländer vom 16. Dezember 2005 (Ausländergesetz, AuG; SR 142.20) nur insofern anwendbar, als das FZA keine abweichenden Bestimmungen enthält oder dieses Gesetz günstigere Bestimmungen vorsieht (Art. 2 Abs. 2 AuG). Das FZA regelt den Entzug der Niederlassungsbewilligung nicht, weshalb die Art. 62 f. AuG Anwendung finden. Da der Widerruf der Niederlassungsbewilligung einer Beschränkung der aus dem FZA fliessenden Rechte gleichkommt, hat der Bewilligungsentzug den Anforderungen des FZA zu genügen ( BGE 139 II 121 E. 5.3 S. 125; Urteil 2C_401/2012 vom 18. September 2012 E. 3.1 f.).</w:t>
      </w:r>
    </w:p>
    <w:p>
      <w:r>
        <w:rPr>
          <w:b/>
        </w:rPr>
        <w:t>E. 2.2</w:t>
      </w:r>
    </w:p>
    <w:p>
      <w:r>
        <w:t>Der Beschwerdeführer ist in der Schweiz geboren und aufgewachsen; er lebt folglich seit mehr als fünfzehn Jahren hier. Gemäss Art. 63 Abs. 2 AuG kann auch in solchen Fällen die Niederlassungsbewilligung entzogen werden, wenn die betreffende Person entweder in schwerwiegender Weise gegen die öffentliche Sicherheit und Ordnung in der Schweiz oder im Ausland verstossen hat, diese gefährdet oder die innere oder die äussere Sicherheit gefährdet (Art. 63 Abs. 1 lit. b AuG). Massgeblich ist, ob der Ausländer besonders hochwertige Rechtsgüter verletzt oder in Gefahr gebracht hat. Auch weniger gravierende Pflichtverletzungen können als "schwerwiegend" im Sinne von Art. 63 Abs. 1 lit. b AuG bezeichnet werden, wenn eine Gesamtbetrachtung zeigt, dass sich die betreffende Person von strafrechtlichen Massnahmen nicht beeindrucken lässt und zudem künftig weder gewillt noch fähig erscheint, sich an die Rechtsordnung zu halten ( BGE 139 I 31 E. 2.1 S. 33; 139 II 121 E. 5.5.1 S. 127; 137 II 297 E. 3.3 S. 303 f.).</w:t>
      </w:r>
    </w:p>
    <w:p>
      <w:r>
        <w:t>Widerrufen werden kann die Niederlassungsbewilligung weiter, wenn die betreffende Person zu einer längerfristigen Freiheitsstrafe verurteilt oder gegen sie eine strafrechtliche Massnahme im Sinne von Art. 64 oder 61 StGB angeordnet worden ist (Art. 62 lit. b AuG). Keine Rolle spielt, ob die Sanktion bedingt, teilbedingt oder unbedingt ausgefällt worden ist ( BGE 139 I 31 E. 2.1 S. 32). Als längerfristig gilt eine Freiheitsstrafe, wenn sie mehr als ein Jahr beträgt, wobei mehrere unterjährige Strafen nicht kumuliert werden dürfen ( BGE 139 I 31 E. 2 S. 32).</w:t>
      </w:r>
    </w:p>
    <w:p>
      <w:r>
        <w:rPr>
          <w:b/>
        </w:rPr>
        <w:t>E. 2.3</w:t>
      </w:r>
    </w:p>
    <w:p>
      <w:r>
        <w:t>Die Widerrufsgründe haben den Anforderungen des FZA zu genügen (oben E. 2.1). Das aus dem FZA fliessende Recht des Beschwerdeführers auf Aufenthalt und Ausübung einer Berufstätigkeit in der Schweiz kann nur aus Gründen der öffentlichen Ordnung, Sicherheit und Gesundheit eingeschränkt werden ( Art. 5 Anhang I FZA ).</w:t>
      </w:r>
    </w:p>
    <w:p>
      <w:r>
        <w:t>In Anwendung der Art. 5 Anhang I FZA zu Grunde liegenden Prinzipien ist ein Widerruf einer Niederlassungsbewilligung nur gerechtfertigt, wenn eine hinreichend schwere und gegenwärtige Gefährdung der öffentlichen Ordnung vorliegt. Eine strafrechtliche Verurteilung erfüllt dieses Kriterium, wenn die betreffende Person mit der begangenen Tat ein persönliches Verhalten zeigt, das eine künftige Gefährdung der öffentlichen Ordnung als wahrscheinlich erscheinen lässt. Die Anforderungen an den Wahrscheinlichkeitsgrad sind nach der möglichen Rechtsgutverletzung zu differenzieren; je schwerer die zu erwartende Rechtsgutverletzung wiegt, umso niedriger sind die Anforderungen an die wahrscheinliche Rückfallgefahr anzusetzen ( BGE 136 II 5 E. 4.2 S. 20; 130 II 176 E. 4.3.1 S. 186; Urteil 2C_1141/2012 vom 1. Mai 2013 E. 2.1).</w:t>
      </w:r>
    </w:p>
    <w:p>
      <w:r>
        <w:t>Ob die betreffende Person mit hinreichender Wahrscheinlichkeit künftige Rechtsverletzungen begehen wird und damit eine hinreichend schwere und gegenwärtige Gefährdung der öffentlichen Ordnung und Sicherheit vorliegt, ist im Einzelfall anhand einer Gesamtbetrachtung sämtlicher Aspekte zu beurteilen. Als schwerwiegende Rechtsgutverletzungen gelten Beeinträchtigungen der physischen, psychischen und sexuellen Integrität, organisierte Kriminalität und namentlich Terrorismus, Menschenhandel und Drogenhandel ( BGE 139 II 121 E. 6.3 S. 120 f. mit Hinweisen auf die Rechtsprechung zu Art. 5 Anhang I FZA ), wobei Zuwiderhandlungen, welche in engem Zusammenhang mit einer Betäubungsmittelabhängigkeit stehen, diese Grundsatzposition mildern können ( BGE 139 II 121 E. 5.3 S. 126). Liegen zahlreiche Zuwiderhandlungen gegen das BetmG, aber kein eigentlicher Drogenhandel vor, so kann sich die Schwere der Gefährdung der öffentlichen Ordnung und Sicherheit auch aus der wiederholten Straffälligkeit ergeben, wenn der Täter damit seine Unfähigkeit zur Einhaltung der Rechtsordnung zum Ausdruck bringt (Urteil 2C_862/2012 vom 12. März 2013 E. 3.2).</w:t>
      </w:r>
    </w:p>
    <w:p>
      <w:r>
        <w:rPr>
          <w:b/>
        </w:rPr>
        <w:t>E. 2.4</w:t>
      </w:r>
    </w:p>
    <w:p>
      <w:r>
        <w:t>Unbestritten ist, dass der Beschwerdeführer im Jahr 2006 zu einer bedingten Freiheitsstrafe von 18 Monaten, im Jahr 2008 zu einer Freiheitsstrafe von 13 Monaten und im Jahr 2010 zu einer solchen von 20 Monaten verurteilt worden ist. Der Widerrufsgrund von Art. 62 lit. b AuG liegt damit vor.</w:t>
      </w:r>
    </w:p>
    <w:p>
      <w:r>
        <w:t>Die Vorinstanz ist weiter davon ausgegangen, dass der Entzug der Niederlassungsbewilligung aus Gründen der öffentlichen Ordnung, Sicherheit und Gesundheit ( Art. 5 Anhang I FZA ) gerechtfertigt sei.</w:t>
      </w:r>
    </w:p>
    <w:p>
      <w:r>
        <w:t>Der Beschwerdeführer wurde seit dem Jahr 2005 praktisch jährlich wegen Verstössen gegen das BetmG, aber auch wegen Vermögensdelikten und Widerhandlungen gegen das Waffengesetz nicht nur zu Geldstrafen, sondern auch zu Freiheitsstrafen verurteilt. Selbst wenn die begangenen Vermögensdelikte im Zusammenhang mit seiner Drogenabhängigkeit stehen und der Beschwerdeführer nach dem vorinstanzlich verbindlich festgestellten Sachverhalt nicht einen eigentlichen Drogenhandel aus finanziellen Gründen betrieben hat, steht die wiederholte Straffälligkeit des Beschwerdeführers selbst nach dem im Jahr 2011 verfügten Widerruf der Niederlassungsbewilligung fest. Eine schwerwiegende Gefährdung der öffentlichen Ordnung und Sicherheit liegt angesichts der wiederholten Straffälligkeit des Beschwerdeführers vor. Das an den Tag gelegte persönliche Verhalten des Beschwerdeführers lässt darauf schliessen, dass er sich von strafrechtlichen Massnahmen wenig beeindrucken lässt und sich mit einer hohen Wahrscheinlichkeit auch künftig nicht an die Rechtsordnung halten wird. Damit sind die Anforderungen erfüllt, welche Art. 5 Anhang I FZA an den Widerruf der Niederlassungsbewilligung stellt (oben E. 2.1 und 2.3). Das angefochtene Urteil ist in diesem Punkt nicht zu beanstanden.</w:t>
      </w:r>
    </w:p>
    <w:p>
      <w:r>
        <w:rPr>
          <w:b/>
        </w:rPr>
        <w:t>E. 3</w:t>
      </w:r>
    </w:p>
    <w:p>
      <w:r>
        <w:t>Der Beschwerdeführer rügt die Verhältnismässigkeit des Widerrufs seiner Niederlassungsbewilligung und führt aus, seine privaten Interessen an einem Verbleib in der Schweiz würden das öffentliche Interesse an einer Fernhaltung überwiegen. Aus diesem Grund verstosse das angefochtene Urteil gegen Art. 5 Anhang I FZA und Art. 8 EMRK .</w:t>
      </w:r>
    </w:p>
    <w:p>
      <w:r>
        <w:rPr>
          <w:b/>
        </w:rPr>
        <w:t>E. 3.1</w:t>
      </w:r>
    </w:p>
    <w:p>
      <w:r>
        <w:t>Wie jede staatliche Massnahme hat der Widerruf der Niederlassungsbewilligung verhältnismässig zu sein. Die vom Beschwerdeführer als im vorinstanzlichen Verfahren unzutreffend durchgeführt gerügte (E. 2) Interessenabwägung hat auf die Schwere des Delikts, das Verschulden des Betroffenen, den seit der Tat vergangenen Zeitraum, das Verhalten des Ausländers während diesem, den Grad seiner Integration bzw. die Dauer der bisherigen Anwesenheit sowie die ihm und seiner Familie drohenden Nachteile abzustellen ( BGE 139 II 121 E. 6.5.1 S. 132).</w:t>
      </w:r>
    </w:p>
    <w:p>
      <w:r>
        <w:rPr>
          <w:b/>
        </w:rPr>
        <w:t>E. 3.2</w:t>
      </w:r>
    </w:p>
    <w:p>
      <w:r>
        <w:t>Die Prüfung der Verhältnismässigkeit der staatlichen Anordnung ( Art. 5 Abs. 2 BV ) entspricht inhaltlich jener, welche für eine Einschränkung von verfassungsmässigen Rechten ( Art. 36 Abs. 3 BV ) und der konventionsrechtlichen Garantie von Art. 8 EMRK vorzunehmen ist (Urteil 2C_718/2013 vom 27. Februar 2014 E. 3.1 mit weiteren Hinweisen). Ob der relativ junge, kinderlose und gemäss vorinstanzlicher Sachverhaltsfeststellung nicht in einer dauerhaften Beziehung lebende Beschwerdeführer gestützt auf ein besonderes Abhängigkeitsverhältnis zu seiner Mutter oder, als Ausländer der zweiten Generation, angesichts besonders intensiver, über eine normale Integration hinausgehende private Beziehungen beruflicher oder gesellschaftlicher Natur sich auf Art. 8 EMRK berufen kann (Urteil 2C_844/2013 vom 6. März 2014 E. 5.5), braucht deswegen nicht weiter geprüft zu werden, da sich auch bejahendenfalls der Eingriff auf Grund von Art. 8 Ziff. 2 EMRK als zulässig erweist.</w:t>
      </w:r>
    </w:p>
    <w:p>
      <w:r>
        <w:rPr>
          <w:b/>
        </w:rPr>
        <w:t>E. 3.3</w:t>
      </w:r>
    </w:p>
    <w:p>
      <w:r>
        <w:t>Ins Gewicht fällt, dass der Beschwerdeführer in der Schweiz geboren wurde und hier sein gesamtes Leben verbracht hat; der Widerruf der Niederlassungsbewilligung würde ihn als Ausländer der zweiten Generation sehr hart treffen. Zu prüfen bleibt, ob diese nachteiligen Folgen für den Beschwerdeführer durch seine persönlichen Interessen an einem Verbleib in der Schweiz aufgewogen werden.</w:t>
      </w:r>
    </w:p>
    <w:p>
      <w:r>
        <w:t>Das Verschulden des Beschwerdeführers ist angesichts der Verurteilung zu mehreren überjährigen Freiheitsstrafen und der Erklärung der Vollziehbarkeit einer bedingten Freiheitsstrafe als schwer einzustufen. Ein eigentlicher deliktfreier Zeitraum seit einer letzten begangenen Tat kann der Beschwerdeführer zu seiner Entlastung nicht geltend machen. Sowohl das Verschulden wie auch das Verhalten des Beschwerdeführers nach den jeweiligen Verurteilungen zu längeren Freiheitsstrafen begründen ein erhebliches öffentliches Interesse am Widerruf der Bewilligung. Nach der für das Bundesgericht verbindlichen vorinstanzlichen Sachverhaltsfeststellung ist weiter nicht erstellt, dass der Beschwerdeführer in der Schweiz beruflich gut integriert ist und über ein stabiles Beziehungsnetz verfügt. Der 30-jährige Beschwerdeführer ist ledig und hat keine Kinder. Es ist ihm zuzumuten, sich in Italien zu integrieren und die Beziehungen zu seiner Mutter, seinen Brüdern und den übrigen Verwandten von dort aus aufrechtzuerhalten (Urteil 2C_718/2013 vom 27. Februar 2014 E. 3.4.2). Ein überwiegendes privates Interesse des Beschwerdeführers an einem Aufenthalt in der Schweiz ist somit nicht ersichtlich. Damit verstösst das vorinstanzliche Urteil weder gegen Art. 5 Anhang I FZA noch gegen Art. 8 EMRK .</w:t>
      </w:r>
    </w:p>
    <w:p>
      <w:r>
        <w:rPr>
          <w:b/>
        </w:rPr>
        <w:t>E. 4</w:t>
      </w:r>
    </w:p>
    <w:p>
      <w:r>
        <w:t>Die Beschwerde ist somit abzuweisen, soweit darauf eingetreten werden kann. Die Eingabe war zum Vornherein aussichtslos, weshalb dem Gesuch um unentgeltliche Rechtspflege und Verbeiständung nicht entsprochen wird (vgl. Art. 64 BGG ). Angesichts des Verfahrensausgangs sind die Kosten des bundesgerichtlichen Verfahrens von Fr. 1'000.-- dem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