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741/2012 vom 11. Juni 2013</w:t>
      </w:r>
    </w:p>
    <w:p>
      <w:r>
        <w:t>Bundesgericht, 2013-06-11, DE</w:t>
      </w:r>
    </w:p>
    <w:p>
      <w:r>
        <w:rPr>
          <w:b/>
        </w:rPr>
        <w:t xml:space="preserve">Quelle: </w:t>
      </w:r>
      <w:r>
        <w:t>https://mcp.opencaselaw.ch/entscheid/bger_2C_741_2012</w:t>
      </w:r>
    </w:p>
    <w:p>
      <w:r>
        <w:t>FR: TF 2C 741/2012 du 11 juin 2013</w:t>
      </w:r>
    </w:p>
    <w:p>
      <w:r>
        <w:t>IT: TF 2C 741/2012 del 11 giugno 2013</w:t>
      </w:r>
    </w:p>
    <w:p>
      <w:pPr>
        <w:pStyle w:val="Heading2"/>
      </w:pPr>
      <w:r>
        <w:t>Regeste</w:t>
      </w:r>
    </w:p>
    <w:p>
      <w:r>
        <w:t>Bruch der Sperrfrist - Entzug Akkreditierung Kreis 1 | Grundrecht</w:t>
      </w:r>
    </w:p>
    <w:p>
      <w:pPr>
        <w:pStyle w:val="Heading2"/>
      </w:pPr>
      <w:r>
        <w:t>Erwägungen</w:t>
      </w:r>
    </w:p>
    <w:p>
      <w:r>
        <w:rPr>
          <w:b/>
        </w:rPr>
        <w:t>E. 1</w:t>
      </w:r>
    </w:p>
    <w:p>
      <w:r>
        <w:t>Vorliegend handelt es sich um einen Entscheid (dazu BGE 135 II 22 E. 1.2 S. 24) in Angelegenheiten des öffentlichen Rechts ( Art. 82 lit. a BGG ), wogegen die Beschwerde ans Bundesgericht zulässig ist (e contrario Art. 83 BGG ). Vorinstanz bildet das Bundesverwaltungsgericht ( Art. 86 BGG ). Die Beschwerde ist fristgerecht eingegangen ( Art. 100 BGG ). Sowohl der Beschwerdeführer 1 als Verfügungsadressat als auch die Beschwerdeführerin 2 als Drittbetroffene sind zur Beschwerde legitimiert ( Art. 89 Abs. 1 BGG ).</w:t>
      </w:r>
    </w:p>
    <w:p>
      <w:r>
        <w:rPr>
          <w:b/>
        </w:rPr>
        <w:t>E. 2</w:t>
      </w:r>
    </w:p>
    <w:p>
      <w:r>
        <w:t>Die Beschwerdeführer rügen, dass die der Sanktionsverfügung vom 29. Juni 2012 zugrunde liegende Sachanordnung (Sperrfrist) gegen Grundrechte verstosse, weshalb die Sanktion rechtswidrig sei. Zu prüfen ist indessen nur, ob der angefochtene Entscheid als Vollstreckungsentscheid mit der Verfassung vereinbar ist, und es ist nicht auf die Rechtmässigkeit der Sachanordnung zurückzukommen, zumal die Beschwerdeführer nicht geltend machen (Art. 42 Abs. 2 i.V.m. Art. 106 Abs. 2 BGG ), "in unverjährbaren oder unverzichtbaren verfassungsmässigen Rechten verletzt worden zu sein" ( BGE 129 I 410 E. 1.1 S. 412; TSCHANNEN/ZIMMERLI/MÜLLER, Allgemeines Verwaltungsrecht, 3. Aufl. 2009, S. 323 f.). Abgesehen davon bedarf es eines schwerwiegenden Eingriffs, um im Sanktionsverfahren die zugrunde liegende Sachanordnung überprüfen zu können (vgl. BGE 118 Ia 209 E. 2 S. 212 ff.; GÄCHTER/EGLI, in: Auer/Müller/Schindler (Hrsg.), Kommentar zum VwVG, 2008, N. 24 zu Art. 39), was in concreto nicht zutrifft.</w:t>
      </w:r>
    </w:p>
    <w:p>
      <w:r>
        <w:rPr>
          <w:b/>
        </w:rPr>
        <w:t>E. 3.1</w:t>
      </w:r>
    </w:p>
    <w:p>
      <w:r>
        <w:t>Sanktionen müssen verhältnismässig sein ( Art. 5 Abs. 2 BV ), unabhängig davon, ob das staatliche Verhalten Grundrechte einschränkt ( Art. 36 BV ). Abgesehen davon, bilden diese im vorliegenden Verwaltungsrechtsverhältnis nur dann Prüfmassstab, wenn die Verfügungsgrundlage selber in Frage gestellt wird (vgl. PIERRE TSCHANNEN, Systeme des Allgemeinen Verwaltungsrechts, 2008, Rz. 101), was die Beschwerdeführer indes unterlassen haben. Art. 18 InfoRegl. ist Ausdruck des Verhältnismässigkeitsprinzips. Nach seinem Abs. 1 können akkreditierte Journalisten und Journalistinnen, die schuldhaft gegen Vorschriften dieses Reglements verstossen, verwarnt werden. In schweren Fällen kann die Akkreditierung vorübergehend oder für immer entzogen werden (Abs. 2). Insofern ist ein nach der Schwere des schuldhaften Verhaltens abgestuftes Sanktionssystem vorgesehen, wobei normales schuldhaftes Verhalten mit einer Verwarnung geahndet wird.</w:t>
      </w:r>
    </w:p>
    <w:p>
      <w:r>
        <w:rPr>
          <w:b/>
        </w:rPr>
        <w:t>E. 3.2</w:t>
      </w:r>
    </w:p>
    <w:p>
      <w:r>
        <w:t>Unbestritten ist, dass der Beschwerdeführer 1 schuldhaft gegen die Vorschriften des InfoRegl. verstossen hat, hat er doch wissentlich und willentlich die Sperrfrist von 07.00 Uhr missachtet. Allerdings handelt es sich nicht um einen schweren Fall: so sind auf einer Skala von möglichen Verstössen beispielsweise offensichtliche Persönlichkeitsverletzungen, die Nennung von Namen in anonymisierten Urteilen, die Veröffentlichung vertraulicher oder geheimer Informationen oder wahrheitswidrige Sachverhaltsdarstellungen, um die Öffentlichkeit zu beeinflussen, weit schwerwiegendere Verstösse, welche nicht mit der vorliegenden Missachtung der Sperrfrist über einen Leisten geschlagen und insofern nicht gleich geahndet werden können. Der Beschwerdeführer hat - wie das Bundesverwaltungsgericht selbst ausgeführt hat - zum ersten Mal gegen die Vorschriften des InfoRegl. verstossen, und es ist entgegen der Auffassung des Bundesverwaltungsgerichts nicht Aufgabe eines konkret-individuellen Einzelakts, ein generalpräventives Exempel für andere Journalisten zu statuieren; im Einzelakt sind nur dessen Umstände zu berücksichtigen: dabei ging es in casu dem Beschwerdeführer nicht darum, einen "Primeur" zu setzen, sondern nur um eine Gleichbehandlung mit den elektronischen Medien. Schliesslich wurde die Sperrfrist von 07.00 Uhr, ein Zeitpunkt, der die Interessen der Printmedien nicht gebührend berücksichtigt, zeitlich nur geringfügig missachtet. Alles in allem ist die vom Bundesverwaltungsgericht verfügte Massnahme unverhältnismässig.</w:t>
      </w:r>
    </w:p>
    <w:p>
      <w:r>
        <w:rPr>
          <w:b/>
        </w:rPr>
        <w:t>E. 4</w:t>
      </w:r>
    </w:p>
    <w:p>
      <w:r>
        <w:t>Die Beschwerde ist demzufolge teilweise, im Sinne des Eventualantrags, gutzuheissen. Nach Art. 18 InfoRegl. können bei Verstössen gegen Vorschriften des Reglements drei mögliche Massnahmen ausgesprochen werden: Verwarnung, in schweren Fällen vorübergehender Entzug der Akkreditierung und in besonders schweren Fällen gänzlicher Entzug der Akkreditierung. Mit der Feststellung, dass es sich vorliegend zwar um einen schuldhaften Verstoss gegen das InfoRegl., aber nicht um einen schweren Fall handelt, kann das Bundesgericht die Verwarnung - angesichts des fehlenden Auswahlermessens - selbst aussprechen ( Art. 107 Abs. 2 BGG ). Es sind keine Gerichtskosten zu erheben ( Art. 66 BGG ) und das Bundesverwaltungsgericht hat den Beschwerdeführern eine reduzierte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