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741/2011 vom 19. Januar 2012</w:t>
      </w:r>
    </w:p>
    <w:p>
      <w:r>
        <w:t>Bundesgericht, 2012-01-19, DE</w:t>
      </w:r>
    </w:p>
    <w:p>
      <w:r>
        <w:rPr>
          <w:b/>
        </w:rPr>
        <w:t xml:space="preserve">Quelle: </w:t>
      </w:r>
      <w:r>
        <w:t>https://mcp.opencaselaw.ch/entscheid/bger_2C_741_2011</w:t>
      </w:r>
    </w:p>
    <w:p>
      <w:r>
        <w:t>FR: TF 2C 741/2011 du 19 janvier 2012</w:t>
      </w:r>
    </w:p>
    <w:p>
      <w:r>
        <w:t>IT: TF 2C 741/2011 del 19 gennaio 2012</w:t>
      </w:r>
    </w:p>
    <w:p>
      <w:pPr>
        <w:pStyle w:val="Heading2"/>
      </w:pPr>
      <w:r>
        <w:t>Regeste</w:t>
      </w:r>
    </w:p>
    <w:p>
      <w:r>
        <w:t>Kantons- und Gemeindesteuern 2005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Angefochten ist der Entscheid des Verwaltungsgerichts des Kantons Zug in einer Angelegenheit des öffentlichen Rechts, die unter keinen Ausschlussgrund gemäss Art. 83 BGG fällt und daher mit Beschwerde an das Bundesgericht weitergezogen werden kann ( Art. 82 lit. a BGG in Verbindung mit Art. 146 DBG [SR 642.11] sowie Art. 73 StHG [SR. 642.14]). Die Beschwerdeführer sind gestützt auf Art. 89 Abs. 1 BGG zur Beschwerde in öffentlich-rechtlichen Angelegenheiten legitimiert; auf das frist- und formgerecht eingereichte Rechtsmittel ist grundsätzlich einzutreten.</w:t>
      </w:r>
    </w:p>
    <w:p>
      <w:r>
        <w:rPr>
          <w:b/>
        </w:rPr>
        <w:t>E. 1.3</w:t>
      </w:r>
    </w:p>
    <w:p>
      <w:r>
        <w:t>Mit der Beschwerde kann namentlich eine Rechtsverletzung nach Art. 95 BGG geltend gemacht werden.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ist ( Art. 106 Abs. 2 BGG ; BGE 133 II 249 E. 1.4.2 S. 254). Die beim Bundesgericht eingereichte Beschwerde unterscheidet sich nur wenig von der Eingabe, welche die Beschwerdeführer vor der Vorinstanz anhängig gemacht haben. Die Beschwerdebegründung setzt sich zudem in keiner Weise mit den differenzierten Erwägungen des Verwaltungsgerichts auseinander und legt kaum dar, inwiefern diese Bundesrecht verletzen. Es erscheint deshalb als höchst fraglich, ob überhaupt eine formgültige Beschwerde vorliegt ( BGE 134 II 244 E. 2.3 S. 246 f.). Die Frage kann jedoch offen bleiben, da die Beschwerde ohnehin abgewiesen werden muss.</w:t>
      </w:r>
    </w:p>
    <w:p>
      <w:r>
        <w:rPr>
          <w:b/>
        </w:rPr>
        <w:t>E. 2.1</w:t>
      </w:r>
    </w:p>
    <w:p>
      <w:r>
        <w:t>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 Art. 18 Abs. 2 Satz 1 DBG ). Für Steuerpflichtige, die eine ordnungsgemässe Buchhaltung führen, gilt Art. 58 DBG (d.h. der Grundsatz der Massgeblichkeit der Handelsbilanz für die Steuerbilanz) sinngemäss ( Art. 18 Abs. 3 DBG ). Beim Ersatz von betriebsnotwendigem Anlagevermögen können die stillen Reserven auf ein Ersatzobjekt mit gleicher Funktion übertragen werden ( Art. 30 Abs. 1 DBG ).</w:t>
      </w:r>
    </w:p>
    <w:p>
      <w:r>
        <w:rPr>
          <w:b/>
        </w:rPr>
        <w:t>E. 2.2</w:t>
      </w:r>
    </w:p>
    <w:p>
      <w:r>
        <w:t>Hier hat der Beschwerdeführer, der eine offensichtlich buchführungspflichtige Garage betrieb, weder den aus dem Verkauf der Liegenschaft C.________strasse 74-80 erzielten Kapitalgewinn noch den aus der Aufwertung der C.________strasse 82 erzielten Aufwertungsgewinn ordnungsgemäss verbucht. Dass der letztgenannte Gewinn gestützt auf Art. 18 Abs. 2 Satz 1 DBG einkommenssteuerlich zu erfassen ist, anerkennen aufgrund ihres Eventualantrags auch die Beschwerdeführer.</w:t>
      </w:r>
    </w:p>
    <w:p>
      <w:r>
        <w:rPr>
          <w:b/>
        </w:rPr>
        <w:t>E. 2.3</w:t>
      </w:r>
    </w:p>
    <w:p>
      <w:r>
        <w:t>Hauptsächlich umstritten ist daher nur noch die Frage, ob im vorliegenden Fall die Voraussetzungen für eine - steuerneutrale - Ersatzbeschaffung erfüllt sind. Dabei stützt sich die Vorinstanz auf das Massgeblichkeitsprinzip, das nach Art. 18 Abs. 3 DBG sinngemäss anwendbar ist. Danach gilt ein handelsrechtlich ausgewiesener Kapitalgewinn grundsätzlich auch steuerlich als realisiert, sofern nicht das Ersatzobjekt entsprechend abgeschrieben (oder eine "Rückstellung" in diesem Umfang gebildet) wird; die steuerneutrale Ersatzbeschaffung setzt nämlich im Ergebnis eine erfolgsneutrale Verbuchung voraus (vgl. Konferenz Staatlicher Steuerbeamter, Harmonisierung des Unternehmenssteuerrechts, 1995, S. 47). Freilich gilt das Massgeblichkeitsprinzip nur für Steuerpflichtige, die eine ordnungsgemässe Buchhaltung führen. Dies ist aber hier jedenfalls hinsichtlich der Jahresrechnung 2005 - trotz der Bescheinigung durch die Kontrollstelle vom 15. Mai 2006 - offensichtlich nicht der Fall. Eine steuerneutrale Ersatzbeschaffung sollte zwar ausnahmsweise auch dann möglich sein, wenn eine kaufmännische Buchhaltung fehlt (HANS-PETER SCHERTENLEIB, Ersatzbeschaffung im Geschäftsvermögen, in: Markus Langenegger, Handbuch zur bernischen Vermögensgewinnsteuer, 1999, Anhang zu Art. 27b und 64g, Rz. 4 S. 256). Allerdings muss dem Gesagten zufolge sichergestellt sein, dass sich die Steuerneutralität nicht im Ergebnis als Steuerbefreiung auswirkt. Erfolgt - wie hier - zwischen Verkauf der Geschäftsliegenschaft und Reinvestition des Erlöses eine steuerneutrale Umstrukturierung im Sinne von Art. 19 DBG , ist an sich das wichtige Erfordernis der Unternehmensidentität noch gewahrt (PETER LOCHER, Kommentar zum DBG, I. Teil, 2001, Rz. 6 zu Art. 30 DBG ). Immerhin müsste der Buchwert der Ersatzliegenschaft um die auf dieses Objekt übertragenen stillen Reserven tiefer liegen (ROBERT DANON, Commentaire romand de l'impôt fédéral direct, 2008, N 18 ad art. 64 LIFD; MARKUS REICH/MARINA ZÜGER, Kommentar zum Schweizerischen Steuerrecht [I/2A], Bundesgesetz über die direkte Bundessteuer [DBG], 2. Aufl. 2008, N 20 zu Art. 30 DBG ; FELIX RICHNER/WALTER FREI/STEFAN KAUFMANN/ HANS ULRICH MEUTER, Handkommentar zum DBG, 2. Aufl. 2009, N 24 zu Art. 64 DBG ; vgl. auch Urteil 2A.586/2005 vom 10. März 2005 E. 2.2). Gerade daran gebricht es hier, ist doch der "Neubau Garage D.________" in der ersten Jahresrechnung der "X.________ AG, E.________" für das Geschäftsjahr vom 1. April 2006 bis am 31. Dezember 2006 mit rund 15,7 Mio Franken bilanziert, ohne dass daraus eine Unterbewertung im Umfang von rund 6 Mio Franken (d.h. im Ausmass der realisierten stillen Reserven) ersichtlich wäre. Auf diese Weise könnte die Ersatzliegenschaft in Zukunft erneut erfolgswirksam abgeschrieben werden, was aber nicht im Sinne einer steuerneutralen Ersatzbeschaffung liegen kann. Wenn daher die Vorinstanz die einkommenssteuerliche Erfassung des - buchmässig nicht ausgewiesenen - Kapitalgewinns auf der ersetzten Liegenschaft geschützt hat, so ist dies weder willkürlich noch unverhältnismässig, sondern vielmehr sachgerecht.</w:t>
      </w:r>
    </w:p>
    <w:p>
      <w:r>
        <w:rPr>
          <w:b/>
        </w:rPr>
        <w:t>E. 2.4</w:t>
      </w:r>
    </w:p>
    <w:p>
      <w:r>
        <w:t>Zusammenfassend erweist sich die Beschwerde in öffentlich-rechtlichen Angelegenheiten betreffend die direkte Bundessteuer als unbegründet und ist abzuweisen, soweit darauf eingetreten werden kann.</w:t>
      </w:r>
    </w:p>
    <w:p>
      <w:r>
        <w:rPr>
          <w:b/>
        </w:rPr>
        <w:t>E. 3</w:t>
      </w:r>
    </w:p>
    <w:p>
      <w:r>
        <w:t>§ 17, 27 und 59 Abs. 2 des Steuergesetzes des Kantons Zug vom 25. Mai 2000 (BGS 632.1) stimmen mit den entsprechenden Artikeln des DBG überein. Für die Kantons- und Gemeindesteuern ergibt sich damit kein Resultat, das von demjenigen der direkten Bundessteuer abweicht. Damit erweist sich auch die Beschwerde in öffentlich-rechtlichen Angelegenheiten betreffend die Kantons- und Gemeindesteuern als unbegründet und ist abzuweisen, soweit darauf eingetreten werden kann.</w:t>
      </w:r>
    </w:p>
    <w:p>
      <w:r>
        <w:rPr>
          <w:b/>
        </w:rPr>
        <w:t>E. 4</w:t>
      </w:r>
    </w:p>
    <w:p>
      <w:r>
        <w:t>Dem Verfahrensausgang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