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736/2018 vom 15. Februar 2019</w:t>
      </w:r>
    </w:p>
    <w:p>
      <w:r>
        <w:t>Bundesgericht, 2019-02-15, DE</w:t>
      </w:r>
    </w:p>
    <w:p>
      <w:r>
        <w:rPr>
          <w:b/>
        </w:rPr>
        <w:t xml:space="preserve">Quelle: </w:t>
      </w:r>
      <w:r>
        <w:t>https://mcp.opencaselaw.ch/entscheid/bger_2C_736_2018</w:t>
      </w:r>
    </w:p>
    <w:p>
      <w:r>
        <w:t>FR: TF 2C 736/2018 du 15 février 2019</w:t>
      </w:r>
    </w:p>
    <w:p>
      <w:r>
        <w:t>IT: TF 2C 736/2018 del 15 febbraio 2019</w:t>
      </w:r>
    </w:p>
    <w:p>
      <w:pPr>
        <w:pStyle w:val="Heading2"/>
      </w:pPr>
      <w:r>
        <w:t>Regeste</w:t>
      </w:r>
    </w:p>
    <w:p>
      <w:r>
        <w:t>Staats- und Gemeindesteuern des Kantons Basel-Stadt, direkte Bundessteuer, Steuerperioden 2011 und 2012; Nachsteuern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Art. 100 Abs. 1 BGG in Verbindung mit Art. 146 DBG [SR 642.11] und Art. 73 StHG [SR 642.14]).</w:t>
      </w:r>
    </w:p>
    <w:p>
      <w:r>
        <w:rPr>
          <w:b/>
        </w:rPr>
        <w:t>E. 1.2</w:t>
      </w:r>
    </w:p>
    <w:p>
      <w:r>
        <w:t>Das Bundesgericht prüft das Bundesrecht zwar von Amtes wegen ( Art. 106 Abs. 1 BGG ; BGE 144 III 462 E. 3.2.3 S. 465) und mit uneingeschränkter (voller) Kognition ( Art. 95 lit. a BGG ; BGE 142 I 177 E. 2 S. 180).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1.3). II. Direkte Bundessteuer</w:t>
      </w:r>
    </w:p>
    <w:p>
      <w:r>
        <w:rPr>
          <w:b/>
        </w:rPr>
        <w:t>E. 2.1</w:t>
      </w:r>
    </w:p>
    <w:p>
      <w:r>
        <w:t>Nach den für das Bundesgericht verbindlichen Feststellungen der Vorinstanz ( Art. 105 Abs. 1 BGG ; vorne E. 1.4) war der Steuerpflichtige in den hier interessierenden Steuerperioden 2011 und 2012 Alleingesellschafter und gleichzeitig einzeln zeichnungsberechtigter Geschäftsführer der seinerzeitigen Restaurant B.________ GmbH (Sachverhalt lit. A). Auf Ebene der Gesellschaft ist es im Anschluss an eine Bücheruntersuchung, welche die KSTV/BS vornahm, zu Aufrechnungen gekommen. Diese sind rechtskräftig geworden. Im Anschluss daran nahm die KSTV/BS auf Ebene der Steuerpflichtigen grundsätzlich dieselben Aufrechnungen vor. Streitig und zu prüfen sind vor Bundesgericht noch der Ermessenszuschlag wegen der unerklärlich tiefen Bruttogewinnmarge (Fr. 206'054.-- [2011] bzw. Fr. 218'452.-- [2012]) und die ermessensweise Aufrechnung, die im Zusammenhang mit der Untervermietung von Zimmern an Prostituierte stehen (Fr. 87'500.-- [2011] bzw. Fr. 99'750.-- [2012]; Sachverhalt lit. C).</w:t>
      </w:r>
    </w:p>
    <w:p>
      <w:r>
        <w:rPr>
          <w:b/>
        </w:rPr>
        <w:t>E. 2.2.1</w:t>
      </w:r>
    </w:p>
    <w:p>
      <w:r>
        <w:t>Ausgangspunkt bildet damit ein zweidimensionaler Sachverhalt, der sich aus der Kapitalgesellschaft und dem Anteilsinhaber zusammensetzt. Zu zweidimensionalen Sachverhalten hat das Bundesgericht mehrfach entschieden, dass kein eigentlicher Aufrechnungsautomatismus bestehe. Bestand, Qualifikation und Höhe einer Aufrechnung folgen auf Ebene der Gesellschaft einerseits und des Anteilsinhabers anderseits einer jeweils eigenen Logik (zuletzt Urteil 2C_761/2018 vom 8. Oktober 2018 E. 2.2.1 mit Hinweisen, in: ASA 87 S. 287). Entsprechend besteht keine natürliche Vermutung für die Begründetheit einer analogen Aufrechnung auf Ebene des Anteilsinhabers und herrscht die übliche Beweislastverteilung: Steuerbegründende und steuererhöhende Tatsachen hat die Veranlagungsbehörde, steuermindernde und steuerausschliessende Tatsachen die steuerpflichtige Person zu beweisen (Normentheorie; BGE 142 II 488 E. 3.8.2 S. 508).</w:t>
      </w:r>
    </w:p>
    <w:p>
      <w:r>
        <w:rPr>
          <w:b/>
        </w:rPr>
        <w:t>E. 2.2.2</w:t>
      </w:r>
    </w:p>
    <w:p>
      <w:r>
        <w:t>Zu verlangen ist, dass die Veranlagungsbehörde nach erfolgter Beweiswürdigung und aufgrund objektiver Gesichtspunkte mit "an Sicherheit grenzender Wahrscheinlichkeit" davon überzeugt ist, dass die Kapitalgesellschaft dem Anteilsinhaber eine geldwerte Leistung erbracht habe. Die erforderliche Überzeugung kann auf Indizien beruhen und bedingt keinen direkten Beweis (zum Ganzen Urteil 2C_647/2018 vom 29. November 2018 E. 3.2, in: ASA 87 S. 437). In Abweichung von den üblichen Regeln über die Beweislast hat aber ein Anteilsinhaber, der gleichzeitig Organ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(Urteil 2C_489/2018 / 2C_490/2018 vom 13. Juli 2018 E. 2.2.5 mit Hinweisen, in: ASA 87 S. 118).</w:t>
      </w:r>
    </w:p>
    <w:p>
      <w:r>
        <w:rPr>
          <w:b/>
        </w:rPr>
        <w:t>E. 2.2.3</w:t>
      </w:r>
    </w:p>
    <w:p>
      <w:r>
        <w:t>Auch im Fall einer üblichen Aufrechnung, die nicht unter den Sondertatbestand von Art. 130 Abs. 2 DBG (Nichterfüllung der Mitwirkungspflichten trotz Mahnung bei gleichzeitiger Unmöglichkeit, den Sachverhalt von Amtes wegen einwandfrei zu ermitteln) fällt, kann die Veranlagungsbehörde einen Ermessenszuschlag vornehmen (2C_57/2019 vom 1. Februar 2019 E. 2.3.3). Dies ergibt sich ohne Weiteres aus der behördlichen Untersuchungspflicht ( Art. 130 Abs. 1 DBG ) und findet im Gesetz keine weitere Erwähnung. Dabei ist es der Veranlagungsbehörde unbenommen, bei ihrer pflichtgemässen Schätzung in Analogie zu Art. 130 Abs. 2 Satz 2 DBG Erfahrungszahlen, Vermögensentwicklung und Lebensaufwand der steuerpflichtigen Person zu berücksichtigen. Die steuerpflichtige Person ist diesfalls nicht auf den Unrichtigkeitsnachweis ( Art. 132 Abs. 3 Satz 1 DBG ) verwiesen, wie er gemäss Art. 130 Abs. 2 DBG herrscht und dort zur Umkehr der Beweislast führt (so ausdrücklich Art. 183 Abs. 1bis DBG ; Urteil 2C_973/2018 vom 9. Januar 2019 E. 2.2). Will sie die Aufrechnung anfechten, kann sie den Gegenbeweis antreten, ohne grobe methodische oder rechnerische Fehler der Ermessensbetätigung rügen zu müssen, was regelmässig auf den Nachweis der Willkür hinausläuft (Urteil 2C_57/2019 vom 1. Februar 2019 E. 2.3.3). Sie hat aber, wie gezeigt, Bestand und Höhe einer von der Veranlagungsbehörde behaupteten geldwerten Leistung detailliert zu bestreiten.</w:t>
      </w:r>
    </w:p>
    <w:p>
      <w:r>
        <w:rPr>
          <w:b/>
        </w:rPr>
        <w:t>E. 3.1</w:t>
      </w:r>
    </w:p>
    <w:p>
      <w:r>
        <w:t>Die Vorinstanz hat zur entscheidenden Frage, ob die auf Ebene der Kapitalgesellschaft vorgenommenen Aufrechnungen zu einer geldwerten Leistung an den Anteilsinhaber geführt hätten, keine detaillierten Feststellungen getroffen. Sie hat im Wesentlichen die Grundlagen dargelegt, die bei der Kapitalgesellschaft zur Aufrechnung geführt haben, ohne in einer zweiten Phase detailliert zu untersuchen, inwiefern sich daraus eine geldwerte Leistung an den Steuerpflichtigen ergeben habe. Dies ruft nach folgenden Feststellungen: Ein eigentlicher Aufrechnungsautomatismus, wie er im angefochtenen Entscheid zumindest anklingt, besteht im zweidimensionalen Sachverhalt nicht und würde die Regeln über die Beweislast verletzten (vorne E. 2.2.1). In Abweichung von der Regel hat die steuerpflichtige Person aber ihren Gegenbeweis, was Bestand und Höhe der geldwerten Leistung betrifft, detailliert zu erbringen (vorne E. 2.2.3), was die Veranlagungsbehörde nicht davon entbindet, sich mit an Sicherheit grenzender Wahrscheinlichkeit vom Vorliegen der geldwerten Leistung zu überzeugen (vorne E. 2.2.2).</w:t>
      </w:r>
    </w:p>
    <w:p>
      <w:r>
        <w:rPr>
          <w:b/>
        </w:rPr>
        <w:t>E. 3.2</w:t>
      </w:r>
    </w:p>
    <w:p>
      <w:r>
        <w:t>Der Steuerpflichtige trägt vor, er habe aufgrund des Konkurses der Restaurant B.________ GmbH keinen Zugriff auf die Akten mehr gehabt und daher auch nicht Stellung nehmen können. Tatsächlich ergibt sich aus dem Handelsregister, das vom Bundesgericht von Amtes wegen berücksichtigt werden kann ( Art. 105 Abs. 2 BGG ; BGE 139 II 404 E. 7.3.3 S. 431), dass das Zivilgericht Basel-Stadt die GmbH am 9. September 2014 aufgelöst und deren Liquidation angeordnet hatte. Die Liquidation erfolgte nach den Vorschriften über den Konkurs, was seinen Grund darin hatte, dass der Gesellschaft ein vorgeschriebenes Organ fehlte ( Art. 731b Abs. 1 Ziff. 3 OR ). Wiederum gemäss Handelsregistereintrag verfügte der Alleingesellschafter aus Gründen, die nicht ersichtlich sind, seit dem 13. Juni 2014 (Tagebucheintrag) über keine Zeichnungsberechtigung mehr, ohne dass das Zeichnungsrecht auf eine andere Person übertragen worden wäre. Insofern ist nachvollziehbar, wenn der Steuerpflichtige im vorliegenden Verfahren ausführt, er habe zu den auf Ebene der GmbH verfügten Aufrechnungen keine Stellung nehmen können bzw. teils auch gar nicht über Akteneinsicht verfügt.</w:t>
      </w:r>
    </w:p>
    <w:p>
      <w:r>
        <w:rPr>
          <w:b/>
        </w:rPr>
        <w:t>E. 3.3</w:t>
      </w:r>
    </w:p>
    <w:p>
      <w:r>
        <w:t>Dies ändert nichts daran, dass starke Indizien für eine geldwerte Leistung sprechen. Der Steuerpflichtige macht nicht geltend, eine unbefugte Drittperson habe sich die unverbuchten und in der Kasse unauffindbaren Mittel deliktisch angeeignet. Er erklärt lediglich, er selber habe "keine Gelder erhalten bzw. entgegengenommen". Nach den für das Bundesgericht verbindlichen Feststellungen der Vorinstanz fungierte er in den Steuerperioden 2011 und 2012 als Alleingesellschafter und einzeln zeichnungsberechtigter Geschäftsführer. Diese Sachumstände nähren die Vermutung, dass er in dieser Eigenschaft für die Barentnahmen verantwortlich war. Dass es sich anders hätte verhalten können, ist vor dem Hintergrund der eher unspezifischen Gegenargumente des Steuerpflichtigen wenig wahrscheinlich. Er glaubt zwar, schon in früheren Verfahrensstadien nachgewiesen zu haben, dass es "plausible, anderweitige Erklärungen dafür gibt, dass er als Privatperson keine verdeckte Gewinnausschüttung " empfangen habe. Wie es dazu hätte kommen könnten, legt er nicht dar, namentlich auch nicht in buchhalterisch nachvollziehbarer Weise. Seine Erklärung zielt allem Anschein nach einzig darauf ab, dass das Geld "verschwunden" sei, was aber keine detaillierte Bestreitung darstellt, so dass die Vorinstanz zulässigerweise davon ausgehen konnte, dass die Mittel an den Steuerpflichtigen geflossen sind. Ebenso wenig stellt sich die vorinstanzliche Rechtsanwendung als bundesrechtswidrig dar.</w:t>
      </w:r>
    </w:p>
    <w:p>
      <w:r>
        <w:rPr>
          <w:b/>
        </w:rPr>
        <w:t>E. 3.4</w:t>
      </w:r>
    </w:p>
    <w:p>
      <w:r>
        <w:t>Die Beschwerde erweist sich, was die direkte Bundessteuer betrifft, als unbegründet. Sie ist abzuweisen. III. Staats- und Gemeindesteuern des Kantons Basel-Stadt</w:t>
      </w:r>
    </w:p>
    <w:p>
      <w:r>
        <w:rPr>
          <w:b/>
        </w:rPr>
        <w:t>E. 4</w:t>
      </w:r>
    </w:p>
    <w:p>
      <w:r>
        <w:t>Das harmonisierte Steuerrecht von Kantonen und Gemeinden stimmt in allen hier massgebenden Teilen mit dem Recht der direkten Bundessteuer überein. Der Kanton Basel-Stadt hat das Harmonisierungsrecht in das Steuergesetz [des Kantons Basel-Stadt] vom 12. April 2000 über die direkten Steuern (StG/BS; SG 640.100) überführt. Es kann daher auf das zur direkten Bundessteuer Gesagte verwiesen werden. Die Beschwerde ist auch unter dem Gesichtswinkel des harmonisierten Steuerrechts der Kantone und Gemeinden unbegründet und abzuweisen. IV. Kosten und Entschädigung</w:t>
      </w:r>
    </w:p>
    <w:p>
      <w:r>
        <w:rPr>
          <w:b/>
        </w:rPr>
        <w:t>E. 5.1</w:t>
      </w:r>
    </w:p>
    <w:p>
      <w:r>
        <w:t>Nach dem Unterliegerprinzip sind die Kosten des bundesgerichtlichen Verfahrens grundsätzlich dem Steuerpflichtigen aufzuerlegen ( Art. 65 und Art. 66 Abs. 1 Satz 1 BGG ).</w:t>
      </w:r>
    </w:p>
    <w:p>
      <w:r>
        <w:rPr>
          <w:b/>
        </w:rPr>
        <w:t>E. 5.2</w:t>
      </w:r>
    </w:p>
    <w:p>
      <w:r>
        <w:t>Das im bundesgerichtlichen Verfahren gestellte Gesuch um Erteilung des Rechts zur unentgeltlichen Rechtspflege (Verbeiständung und Prozessführung; Art. 29 Abs. 3 BV bzw. Art. 64 Abs. 1 und 2 BGG ) erweist sich mit Blick auf die gestellten Anträge von vornherein als aussichtslos ( BGE 142 III 138 E. 5.1 S. 139 f.). Es ist abzuweisen. Praxisgemäss werden die Gerichtsgebühren reduziert, wenn erst zusammen mit dem Endentscheid über das Gesuch um unentgeltliche Rechtspflege entschieden wird.</w:t>
      </w:r>
    </w:p>
    <w:p>
      <w:r>
        <w:rPr>
          <w:b/>
        </w:rPr>
        <w:t>E. 5.3</w:t>
      </w:r>
    </w:p>
    <w:p>
      <w:r>
        <w:t>Dem Kanton Basel-Stadt,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