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2C_734/2010 vom 2. Februar 2011</w:t>
      </w:r>
    </w:p>
    <w:p>
      <w:r>
        <w:t>Bundesgericht, 2011-02-02, FR</w:t>
      </w:r>
    </w:p>
    <w:p>
      <w:r>
        <w:rPr>
          <w:b/>
        </w:rPr>
        <w:t xml:space="preserve">Quelle: </w:t>
      </w:r>
      <w:r>
        <w:t>https://mcp.opencaselaw.ch/entscheid/bger_2C_734_2010</w:t>
      </w:r>
    </w:p>
    <w:p>
      <w:r>
        <w:t>FR: TF 2C_734/2010 du 2 février 2011</w:t>
      </w:r>
    </w:p>
    <w:p>
      <w:r>
        <w:t>IT: TF 2C_734/2010 del 2 febbraio 2011</w:t>
      </w:r>
    </w:p>
    <w:p>
      <w:pPr>
        <w:pStyle w:val="Heading2"/>
      </w:pPr>
      <w:r>
        <w:t>Erwägungen</w:t>
      </w:r>
    </w:p>
    <w:p>
      <w:r>
        <w:rPr>
          <w:b/>
        </w:rPr>
        <w:t>E. 1</w:t>
      </w:r>
    </w:p>
    <w:p>
      <w:r>
        <w:t>L'arrêt attaqué constitue une décision finale ( art. 90 LTF ) rendue dans une cause de droit public par une autorité judiciaire supérieure de dernière instance cantonale qui concerne à la fois l'impôt fédéral direct et l'impôt cantonal harmonisé, ce qui est admissible du moment que l'établissement du revenu imposable d'un contribuable exerçant une activité lucrative indépendante est identique (Markus Reich, Bundes-gesetz über die Harmonisierung der direkten Steuern der Kantone und Gemeinden (StHG), 2e éd., Zweifel/Athanas éd., n° 23 ss ad art. 8 LHID ) pour les deux catégories d'impôts ( ATF 135 II 260 ss). Par conséquent, déposé en temps utile par les destinataires de l'arrêt attaqué, qui ont un intérêt digne de protection à l'annulation ou à la modification de celui-ci, le présent recours en matière de droit public est en principe recevable en vertu des art. 82 ss LTF , 146 de la loi fédérale du 14 décembre 1990 sur l'impôt fédéral direct (LIFD; RS 642.11) et 73 al. 1 de la loi du 14 décembre 1990 sur l'harmonisation des impôts cantonaux et communaux (LHID; loi sur l'harmonisation fiscale; RS 642.14). Il est aussi conforme à la jurisprudence qui autorise le dépôt d'un seul acte de recours, lorsqu'il ressort clairement du mémoire (cf. mémoire de recours, p. 3) que la partie recourante s'en prend aux deux catégories d'impôts (cf. ATF 135 II 260 ss).</w:t>
      </w:r>
    </w:p>
    <w:p>
      <w:r>
        <w:t>I. Impôt fédéral direct</w:t>
      </w:r>
    </w:p>
    <w:p>
      <w:r>
        <w:rPr>
          <w:b/>
        </w:rPr>
        <w:t>E. 2.1</w:t>
      </w:r>
    </w:p>
    <w:p>
      <w:r>
        <w:t>Sont déduits du revenu les primes, cotisations et montants légaux, statutaires ou réglementaires versés à l'assurance-vieillesse et survivants, à l'assurance-invalidité et à des institutions de la prévoyance professionnelle ( art. 33 al. 1 let . f LIFD).</w:t>
      </w:r>
    </w:p>
    <w:p>
      <w:r>
        <w:rPr>
          <w:b/>
        </w:rPr>
        <w:t>E. 2.2</w:t>
      </w:r>
    </w:p>
    <w:p>
      <w:r>
        <w:t>D'après l' art. 125 al. 2 LIFD ,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L' art. 125 al. 2 LIFD ne précise pas les exigences auxquelles doivent répondre ces états et relevés, qui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 2A.128/2007 du 14 mars 2008, in RF 63/2008, 630, consid. 5.2 et les références citées).</w:t>
      </w:r>
    </w:p>
    <w:p>
      <w:r>
        <w:t>Les cotisations se calculent sur la base du revenu découlant du résultat de l'exercice commercial clos au cours de l'année de cotisation et du capital propre investi dans l'entreprise à la fin de l'exercice commercial (art. 22 al. 2 du règlement fédéral du 31 octobre 1947 sur l'assurance-vieillesse et survivants [RAVS; RS 831.101]). Pour établir le revenu déterminant, les autorités fiscales cantonales se fondent sur la taxation passée en force de l'impôt fédéral direct ( art. 23 al. 1 RAVS ). Les cotisations définitives ne peuvent donc être déterminées, au plus tôt, que l'année suivant celle en cause. Pendant l'année de cotisation, les personnes tenues de payer des cotisations doivent verser périodiquement des acomptes de cotisations ( art. 24 al. 1 RAVS ).</w:t>
      </w:r>
    </w:p>
    <w:p>
      <w:r>
        <w:t>Qu'elles soient considérées comme privées ou commerciales, les cotisations sociales d'un indépendant peuvent être comptabilisées, soit à la date de la facture, soit à celle du paiement, selon la méthode comptable choisie. Elles peuvent, de plus, faire l'objet d'une provision si le contribuable tient une comptabilité en partie double. Le contribuable peut choisir une méthode plus simple et enregistrer les cotisations, soit à la date de la facture (des acomptes et des décisions définitives), soit à celle du paiement, même si cela ne coïncide pas avec l'année pour laquelle les cotisations sont dues. Lorsque le contribuable a choisi une des méthodes admises, il doit s'y tenir (arrêt 2A.128/2007 du 14 mars 2008, in RF 63/2008, 630, consid. 5.4 et les références citées).</w:t>
      </w:r>
    </w:p>
    <w:p>
      <w:r>
        <w:rPr>
          <w:b/>
        </w:rPr>
        <w:t>E. 2.3</w:t>
      </w:r>
    </w:p>
    <w:p>
      <w:r>
        <w:t>En l'espèce, il est établi que, pour la période fiscale 2005, le recourant tenait un relevé des recettes et des dépenses selon le principe de l'encaissement. Par conséquent, les cotisations du recourant au titre de l'AVS/AI, APG et chômage dues pour l'année 2005 ne peuvent être déduites de son revenu d'activité lucrative indépendante qu'à la date de leur paiement. C'est en effet la conséquence directe du choix du recourant d'être imposé à l'encaissement. Il n'importe pas dans ce cas que la déduction ait lieu dans le relevé des recettes et des dépenses ou directement dans sa déclaration fiscale. Ce sont dans les deux cas les primes et cotisations "versées" en vertu de la réglementation qui sont déductibles selon l' art. 33 al. 1 let . f LIFD, ce qui correspond en l'espèce aux acomptes versés en 2005 par le recourant pour l'AVS/AI, APG et chômage.</w:t>
      </w:r>
    </w:p>
    <w:p>
      <w:r>
        <w:t>Par conséquent, en jugeant que seul le montant des acomptes versés en 2005 par le recourant pour l'AVS/AI, APG et chômage était déductible de l'impôt sur le revenu de l'activité lucrative indépendante soumis à l'impôt fédéral direct pour la période fiscale 2005, le Tribunal administratif a correctement appliqué le droit fédéral. Le recours doit être rejeté en tant qu'il est dirigé contre l'impôt fédéral direct 2005.</w:t>
      </w:r>
    </w:p>
    <w:p>
      <w:r>
        <w:t>II. Impôt cantonal et communal</w:t>
      </w:r>
    </w:p>
    <w:p>
      <w:r>
        <w:rPr>
          <w:b/>
        </w:rPr>
        <w:t>E. 3</w:t>
      </w:r>
    </w:p>
    <w:p>
      <w:r>
        <w:t>L' art. 3 al. 3 let . g de la loi genevoise sur l'imposition des personnes physiques (LIPP-V) - Détermination du revenu net - Calcul de l'impôt et rabais d'impôt - Compensation des effets de la profession à froid du 22 septembre 2000 (Recueil des lois 2000, p. 754; dans sa version en vigueur jusqu'au 31 décembre 2010 applicable en l'espèce) ainsi que l'art. 29 al. 2 de la loi genevoise sur la procédure fiscale du 4 octobre 2001 (LPFisc; RSGE D 3 17), ont pratiquement la même teneur quant aux obligations des contribuables exerçant une activité lucrative indépendante et quant aux déductions admises que celle des art. 33 al. 1 let . f et 125 al. 2 LIFD, dont le contenu correspond également à celui des art. 9 al. 2 let . f et 42 al. 3 LHID.</w:t>
      </w:r>
    </w:p>
    <w:p>
      <w:r>
        <w:t>Par conséquent en tant qu'il est dirigé contre l'impôt cantonal et communal 2005, le recours doit être rejeté pour les mêmes motifs que ceux qui sont exposés ci-dessus pour l'impôt fédéral direct.</w:t>
      </w:r>
    </w:p>
    <w:p>
      <w:r>
        <w:rPr>
          <w:b/>
        </w:rPr>
        <w:t>E. 4</w:t>
      </w:r>
    </w:p>
    <w:p>
      <w:r>
        <w:t>Les considérants qui précèdent conduisent au rejet du recours en matière d'impôt fédéral direct et du recours en matière d'impôts directs cantonal et communal.</w:t>
      </w:r>
    </w:p>
    <w:p>
      <w:r>
        <w:t>Succombant, les recourants doivent supporter un émolument judiciaire, solidairement entre eux ( art. 65 et 66 LTF ). Ils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