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734/2008 vom 29. Januar 2009</w:t>
      </w:r>
    </w:p>
    <w:p>
      <w:r>
        <w:t>Bundesgericht, 2009-01-29, FR</w:t>
      </w:r>
    </w:p>
    <w:p>
      <w:r>
        <w:rPr>
          <w:b/>
        </w:rPr>
        <w:t xml:space="preserve">Quelle: </w:t>
      </w:r>
      <w:r>
        <w:t>https://mcp.opencaselaw.ch/entscheid/bger_2C_734_2008</w:t>
      </w:r>
    </w:p>
    <w:p>
      <w:r>
        <w:t>FR: TF 2C 734/2008 du 29 janvier 2009</w:t>
      </w:r>
    </w:p>
    <w:p>
      <w:r>
        <w:t>IT: TF 2C 734/2008 del 29 gennaio 2009</w:t>
      </w:r>
    </w:p>
    <w:p>
      <w:pPr>
        <w:pStyle w:val="Heading2"/>
      </w:pPr>
      <w:r>
        <w:t>Regeste</w:t>
      </w:r>
    </w:p>
    <w:p>
      <w:r>
        <w:t>Impôt cantonal et communal 2002 (ICC); impôt immobilier complémentaire (IIC) | Finances publiques &amp; droit fiscal</w:t>
      </w:r>
    </w:p>
    <w:p>
      <w:pPr>
        <w:pStyle w:val="Heading2"/>
      </w:pPr>
      <w:r>
        <w:t>Erwägungen</w:t>
      </w:r>
    </w:p>
    <w:p>
      <w:r>
        <w:rPr>
          <w:b/>
        </w:rPr>
        <w:t>E. 1.1</w:t>
      </w:r>
    </w:p>
    <w:p>
      <w:r>
        <w:t>L'arrêt attaqué porte sur l'impôt immobilier complémentaire et plus précisément sur la question de savoir si la recourante a valablement déposé une demande de nouvelle estimation fiscale de ses immeubles. Cet impôt ne fait pas partie du droit harmonisé (cf. art. 1 et 2 de la loi fédérale du 14 décembre 1990 sur l'harmonisation des impôts directs des cantons et des communes [LHID; RS 642.14]; Harmonisation fiscale; rapport du groupe d'experts Cagianut sur l'harmonisation fiscale/texte de loi LHID, 1994, p. 78 no 2.1; Danielle Yersin, Harmonisation fiscale et droit cantonal, RDAF 1994 p. 169 ss p. 182). La présente cause relève ainsi du droit cantonal.</w:t>
      </w:r>
    </w:p>
    <w:p>
      <w:r>
        <w:rPr>
          <w:b/>
        </w:rPr>
        <w:t>E. 1.2</w:t>
      </w:r>
    </w:p>
    <w:p>
      <w:r>
        <w:t>Sous réserve des droits constitutionnels cantonaux et des dispositions cantonales sur le droit de vote des citoyens ainsi que sur les élections et votations populaires ( art. 95 let . c et d LTF), le recours en matière de droit public n'est pas ouvert pour se plaindre d'une violation du droit cantonal en tant que tel. Il est en revanche possible de faire valoir que la mauvaise application du droit cantonal constitue une violation du droit fédéral au sens de l' art. 95 let. a LTF , en particulier qu'elle est arbitraire au sens de l' art. 9 Cst. ( ATF 133 III 462 consid. 2.3 p. 466). Le Tribunal fédéral n'examine toutefois pas ces questions d'office, mais se prononce uniquement sur les griefs invoqués et motivés de manière suffisante par le recourant comme l'exige l' art. 106 al. 2 LTF ( ATF 134 I 83 consid. 3.2 p. 88; 133 II 249 consid. 1.4.2 p. 254; 133 III 393 consid. 6 p. 397). Ainsi,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 Le Tribunal fédéral n'entre pas non plus en matière sur les critiques de nature appellatoire ( ATF 133 III 393 consid. 6 p. 397). Il en va de même lorsque le recourant se plaint de la violation de droits constitutionnels: l'acte de recours doit, sous peine d'irrecevabilité, contenir un exposé succinct des droits constitutionnels ou des principes juridiques violés et préciser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 ATF 134 I 65 consid. 1.3 p. 67; 134 V 138 consid. 2.1 p. 143). Le recourant ne saurait se contenter de soulever de vagues griefs ou de renvoyer aux actes cantonaux ( ATF 130 I 258 consid. 1.3 p. 261/262, 26 consid. 2.1 p. 31 et les références).</w:t>
      </w:r>
    </w:p>
    <w:p>
      <w:r>
        <w:rPr>
          <w:b/>
        </w:rPr>
        <w:t>E. 2</w:t>
      </w:r>
    </w:p>
    <w:p>
      <w:r>
        <w:t>Invoquant la violation de son droit d'être entendue, la recourante se plaint du fait que l'Administration fiscale cantonale n'a pas tenu compte, pour l'impôt immobilier complémentaire 2002, des rapports d'expertise, établis par une fiduciaire, qui déterminent la valeur vénale de ses immeubles. Il apparaît que le grief ne relève pas des garanties découlant du droit d'être entendu, la recourante ayant pu produire les pièces qu'elle jugeait pertinentes pour la cause. Dans la mesure où l'autorité concernée n'a pas accordé la même portée aux pièces produites que le souhaitait la recourante, celle-ci fait valoir en réalité une appréciation arbitraire des preuves. La motivation déficiente de ce grief au regard des exigences de l' art. 106 al. 2 LTF le rend irrecevable.</w:t>
      </w:r>
    </w:p>
    <w:p>
      <w:r>
        <w:rPr>
          <w:b/>
        </w:rPr>
        <w:t>E. 3</w:t>
      </w:r>
    </w:p>
    <w:p>
      <w:r>
        <w:t>Figurant au chapitre III de la loi générale genevoise du 9 novembre 1887 sur les contributions publiques (LCP; RS/GE D 3 05) intitulé "Impôt immobilier complémentaire", l'art. 76 LCP prévoit: "1 Il est perçu un impôt annuel de 1? sur la valeur de tous les immeubles situés dans le canton et qui ne sont pas exonérés des impôts par des dispositions de la présente loi. 2 Cet impôt est perçu sur la valeur des immeubles, telle qu'elle résulte des estimations faites conformément à l'article 48 (...) sans défalcation d'aucune dette. (...)</w:t>
      </w:r>
    </w:p>
    <w:p>
      <w:r>
        <w:rPr>
          <w:b/>
        </w:rPr>
        <w:t>E. 6</w:t>
      </w:r>
    </w:p>
    <w:p>
      <w:r>
        <w:t>La recourante estime que le Tribunal administratif a fait preuve de formalisme excessif en exigeant qu'elle articule une demande formelle de nouvelle estimation. Selon elle, cette autorité aurait dû considérer à tout le moins la réclamation du 1er avril 2005 à l'encontre du bordereau d'impôt immobilier complémentaire 2002 comme une telle demande.</w:t>
      </w:r>
    </w:p>
    <w:p>
      <w:r>
        <w:rPr>
          <w:b/>
        </w:rPr>
        <w:t>E. 6.1</w:t>
      </w:r>
    </w:p>
    <w:p>
      <w:r>
        <w:t>Selon la jurisprudence,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 ATF 130 V 177 consid. 5.4.1 p. 183; 128 II 139 consid. 2a p. 142 et les références citées).</w:t>
      </w:r>
    </w:p>
    <w:p>
      <w:r>
        <w:rPr>
          <w:b/>
        </w:rPr>
        <w:t>E. 6.2</w:t>
      </w:r>
    </w:p>
    <w:p>
      <w:r>
        <w:t>Comme on l'a vu ci-dessus (cf. consid. 4.3), aucune des écritures en cause ne peut être assimilée à une demande de réévaluation formelle motivée conformément aux exigences jurisprudentielles du Tribunal administratif (cf. consid. 4.2). En outre, ces actes ont été déposés après le 31 décembre 2002. Or, malgré ce que soutient la recourante qui ne voit pas de raison de refuser une demande de réévaluation présentée après le 31 décembre de la période fiscale concernée, mais avant que ne soit émis le bordereau de taxation de ladite période, une stricte application des règles de procédure, notamment celles relatives aux délais, est justifiée par des motifs d'égalité de traitement et par un intérêt public lié à une bonne administration de la justice et à la sécurité du droit (cf. ATF 104 Ia 4 consid. 3 p. 5; arrêt 1C_85/2007 du 6 septembre 2007 consid. 3.2). Ce principe vaut tant en matière judiciaire que dans le domaine administratif.</w:t>
      </w:r>
    </w:p>
    <w:p>
      <w:r>
        <w:rPr>
          <w:b/>
        </w:rPr>
        <w:t>E. 6.3</w:t>
      </w:r>
    </w:p>
    <w:p>
      <w:r>
        <w:t>Ainsi, le Tribunal administratif, en jugeant qu'aucun des actes déposés par la recourante ne pouvait être considéré comme une demande valable de nouvelle estimation, n'a pas fait preuve de formalisme excessif. Le grief doit dès lors être rejeté.</w:t>
      </w:r>
    </w:p>
    <w:p>
      <w:r>
        <w:rPr>
          <w:b/>
        </w:rPr>
        <w:t>E. 7.1</w:t>
      </w:r>
    </w:p>
    <w:p>
      <w:r>
        <w:t>La recourante reproche au Tribunal administratif d'avoir appliqué l'art. 9 al. 3 LIPP-III de façon arbitraire lorsqu'elle a considéré que l'ouverture du sursis concordataire avec liquidation subséquente ne constituait pas, pour une personne morale, un état de fait comparable au décès d'une personne physique ou à une mutation, cas dans lesquels la valeur d'aliénation ou de succession retenue pour la perception des droits d'enregistrement et de succession se substitue à la valeur d'estimation pour le reste de la période décennale. Selon la recourante, l'ouverture du sursis concordataire devrait également entraîner la substitution de l'estimation fiscale jusque-là en vigueur par la valeur des immeubles déterminée par le commissaire provisoire.</w:t>
      </w:r>
    </w:p>
    <w:p>
      <w:r>
        <w:rPr>
          <w:b/>
        </w:rPr>
        <w:t>E. 7.2</w:t>
      </w:r>
    </w:p>
    <w:p>
      <w:r>
        <w:t>La recourante ne dit pas en quoi le fait que le Tribunal administratif a jugé que l'art. 9 al. 3 LIPP-III contenait une liste exhaustive des cas dans lesquels la valeur d'aliénation ou de succession se substituait à l'estimation fiscale en vigueur jusque-là était insoutenable. Elle ne fait que mentionner que l'octroi du sursis concordataire devrait être assimilé à un des cas de l'art. 9 al. 3 LIPP-III. Ainsi, le grief n'est pas suffisamment motivé au regard de l' art. 106 al. 2 LTF de sorte qu'il est irrecevable (cf. consid. 1.2).</w:t>
      </w:r>
    </w:p>
    <w:p>
      <w:r>
        <w:rPr>
          <w:b/>
        </w:rPr>
        <w:t>E. 8.1</w:t>
      </w:r>
    </w:p>
    <w:p>
      <w:r>
        <w:t>Selon la recourante, l'attitude des autorités genevoises violerait le principe de la bonne foi (sur cette notion cf. ATF 131 II 627 consid. 6.1 p. 636; 130 I 26 consid. 8.1 p. 60). En effet, le canton de Genève, en tant que créancier, a reconnu comme valeur vénale des biens en cause le montant de 100'060'000 fr. fourni par le commissaire provisoire dans le cadre de la procédure du sursis concordataire, d'une part, et, de l'autre, en tant qu'autorité fiscale, il a refusé que l'estimation fiscale des immeubles soit ajustée à leur valeur vénale.</w:t>
      </w:r>
    </w:p>
    <w:p>
      <w:r>
        <w:rPr>
          <w:b/>
        </w:rPr>
        <w:t>E. 8.2</w:t>
      </w:r>
    </w:p>
    <w:p>
      <w:r>
        <w:t>Comme l'a retenu le Tribunal administratif, les procédures en matière du droit de la poursuite pour dettes et la faillite et du droit fiscal sont des procédures différentes et indépendantes. Le fait que, dans la procédure du sursis concordataire, le canton de Genève s'est vu notifier, en tant que créancier, la valeur vénale des biens immobiliers, et qu'il n'ait pas réagi au montant fixé, ne saurait être interprété comme une promesse de prendre en compte cette valeur pour procéder à la taxation relative au gain immobilier complémentaire. Ainsi, aucune promesse n'ayant été articulée par l'administration fiscale cantonale à la recourante quant à la valeur fiscale des immeubles en cause, le principe de la bonne foi n'a pas pu être violé.</w:t>
      </w:r>
    </w:p>
    <w:p>
      <w:r>
        <w:rPr>
          <w:b/>
        </w:rPr>
        <w:t>E. 9</w:t>
      </w:r>
    </w:p>
    <w:p>
      <w:r>
        <w:t>Quant aux griefs relatifs à la violation du principe de la légalité et à celui de l'imposition selon la capacité contributive, ils ne sont en aucune façon motivés à suffisance de droit (cf. consid. 1.2). Partant ils sont irrecevables.</w:t>
      </w:r>
    </w:p>
    <w:p>
      <w:r>
        <w:rPr>
          <w:b/>
        </w:rPr>
        <w:t>E. 10</w:t>
      </w:r>
    </w:p>
    <w:p>
      <w:r>
        <w:t>Il s'ensuit que le recours doit être rejeté, dans la mesure où il est recevable. Succombant, la recourante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