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732/2011 vom 8. Juni 2012</w:t>
      </w:r>
    </w:p>
    <w:p>
      <w:r>
        <w:t>Bundesgericht, 2012-06-08, DE</w:t>
      </w:r>
    </w:p>
    <w:p>
      <w:r>
        <w:rPr>
          <w:b/>
        </w:rPr>
        <w:t xml:space="preserve">Quelle: </w:t>
      </w:r>
      <w:r>
        <w:t>https://mcp.opencaselaw.ch/entscheid/bger_2C_732_2011</w:t>
      </w:r>
    </w:p>
    <w:p>
      <w:r>
        <w:t>FR: TF 2C 732/2011 du 8 juin 2012</w:t>
      </w:r>
    </w:p>
    <w:p>
      <w:r>
        <w:t>IT: TF 2C 732/2011 del 8 giugno 2012</w:t>
      </w:r>
    </w:p>
    <w:p>
      <w:pPr>
        <w:pStyle w:val="Heading2"/>
      </w:pPr>
      <w:r>
        <w:t>Regeste</w:t>
      </w:r>
    </w:p>
    <w:p>
      <w:r>
        <w:t>Definition und Abgrenzung Übertragungsnetz | Energie</w:t>
      </w:r>
    </w:p>
    <w:p>
      <w:pPr>
        <w:pStyle w:val="Heading2"/>
      </w:pPr>
      <w:r>
        <w:t>Erwägungen</w:t>
      </w:r>
    </w:p>
    <w:p>
      <w:r>
        <w:rPr>
          <w:b/>
        </w:rPr>
        <w:t>E. 1</w:t>
      </w:r>
    </w:p>
    <w:p>
      <w:r>
        <w:t>Das Bundesgericht prüft seine Zuständigkeit und die Eintretensvoraussetzungen von Amtes wegen ( Art. 29 Abs. 1 BGG ; BGE 136 I 42 E. 1 S. 43; 135 III 1 E. 1.1 S. 3). Die Beschwerde in öffentlich-rechtlichen Angelegenheiten gegen den Endentscheid des Bundesverwaltungsgerichts ist grundsätzlich zulässig ( Art. 82 lit. a, Art. 86 Abs. 1 lit. a und Art. 90 BGG ).</w:t>
      </w:r>
    </w:p>
    <w:p>
      <w:r>
        <w:rPr>
          <w:b/>
        </w:rPr>
        <w:t>E. 2</w:t>
      </w:r>
    </w:p>
    <w:p>
      <w:r>
        <w:t>Näher zu prüfen ist die Legitimation der Beschwerdeführerinnen.</w:t>
      </w:r>
    </w:p>
    <w:p>
      <w:r>
        <w:rPr>
          <w:b/>
        </w:rPr>
        <w:t>E. 2.1</w:t>
      </w:r>
    </w:p>
    <w:p>
      <w:r>
        <w:t>Zur Beschwerde berechtigt ist nach Art. 89 Abs. 1 BGG ,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2.2</w:t>
      </w:r>
    </w:p>
    <w:p>
      <w:r>
        <w:t>Die Beschwerdeführerinnen sind als Eigentümerinnen von Elektrizitätsleitungen materiell beschwert durch Entscheide, welche den Umfang der Übertragungspflicht gemäss Art. 33 Abs. 4 StromVG in Bezug auf ihre Leitungen zum Gegenstand haben. Sie waren allerdings am Verfahren vor der Vorinstanz nicht beteiligt, machen aber geltend, sie hätten zu Unrecht keine Möglichkeit zur Teilnahme erhalten: Obwohl sie durch den angefochtenen Entscheid beschwert seien, weil er für alle Beteiligten des erstinstanzlichen Verfahrens gelte, seien sie vom Bundesverwaltungsgericht nie zur Vernehmlassung eingeladen worden. Das Erfordernis der formellen Beschwer gemäss Art. 89 Abs. 1 lit. a BGG sei deshalb auf sie nicht anwendbar.</w:t>
      </w:r>
    </w:p>
    <w:p>
      <w:r>
        <w:rPr>
          <w:b/>
        </w:rPr>
        <w:t>E. 2.3</w:t>
      </w:r>
    </w:p>
    <w:p>
      <w:r>
        <w:t>Abgesehen von denjenigen Fällen, in denen erst durch den vorinstanzlichen Entscheid die besondere Berührtheit überhaupt entsteht (Urteil 1C_134/2010 vom 28. September 2010 E. 3), kommt der Verzicht auf formelle Beschwer nur zum Tragen, wenn der Beschwerdeführer im vorinstanzlichen Verfahren richtigerweise hätte Parteistellung beanspruchen können, aber am Verfahren unverschuldet - z.B. wegen eines Fehlers der Behörde - nicht teilnehmen konnte (BGE 8C_190/2011 vom 13. Februar 2012 E. 2.5.1; 134 V 306 E. 3.3.1 S. 311; 133 II 181 E. 3.2 S. 187). Dies setzt voraus, dass der Beschwerdeführer bereits im vorinstanzlichen Verfahren materiell besonders berührt gewesen wäre.</w:t>
      </w:r>
    </w:p>
    <w:p>
      <w:r>
        <w:rPr>
          <w:b/>
        </w:rPr>
        <w:t>E. 2.4</w:t>
      </w:r>
    </w:p>
    <w:p>
      <w:r>
        <w:t>Ausgangspunkt des vorliegenden Verfahrens bildet die Verfügung der ElCom vom 11. November 2010. Eine Verfügung ist eine Anordnung im Einzelfall, welche die Begründung, Änderung oder Aufhebung von Rechten oder Pflichten oder entsprechende Feststellungen zum Gegenstand hat ( Art. 5 VwVG ). Eine Verfügung beantwortet indessen nicht abstrakte, theoretische Rechtsfragen ( BGE 126 II 300 E. 2c S. 303), sondern regelt konkrete Rechtsverhältnisse ( BGE 135 II 38 E. 4.6 S. 46; 133 II 450 E. 2.1 S. 454; 132 V 257 E. 2.4.2 S. 263) oder trifft entsprechende Feststellungen ( Art. 25 VwVG ). In casu regelt die Verfügung der ElCom, welche Leitungen oder Anlagen von den bisherigen Netzeigentümern auf die swissgrid ag zu übertragen sind. Auch wenn sich für alle Anlagen die gleichen Rechtsfragen stellen und die Verfügung weitgehend generell formuliert ist, ist sie nicht als generell-abstrakter Erlass (wozu die ElCom gar nicht zuständig wäre [vgl. Art. 22 StromVG ; Art. 48 RVOG e contrario] und der nicht anfechtbar wäre [ Art. 31 und 33 VGG e contrario]) zu qualifizieren. Ebenso wenig handelt es sich um eine Allgemeinverfügung, welche einen konkreten Sachverhalt mit Wirkung für eine unbestimmte Zahl von Parteien regelt ( BGE 134 II 272 E. 3.2 S. 280; 126 II 300 E. 1a S. 302). Vielmehr regelt die Verfügung der ElCom eine Vielzahl von konkreten Sachverhalten (Leitungen) und die entsprechenden Rechtsverhältnisse, an denen jeweils einerseits die swissgrid und andererseits der Eigentümer der betreffenden Leitung beteiligt sind. Dementsprechend hat die ElCom richtigerweise allen Übertragungsnetz-Eigentümern Gelegenheit gegeben, sich am Verfahren zu beteiligen, und allen die Verfügung eröffnet.</w:t>
      </w:r>
    </w:p>
    <w:p>
      <w:r>
        <w:rPr>
          <w:b/>
        </w:rPr>
        <w:t>E. 2.5</w:t>
      </w:r>
    </w:p>
    <w:p>
      <w:r>
        <w:t>swissgrid ag und die meisten Netzeigentümer (darunter auch die heutigen Beschwerdeführerinnen) haben die Verfügung der ElCom nicht angefochten. Im Verhältnis zwischen swissgrid ag einerseits und diesen nicht anfechtenden Netzeigentümern ist damit die Verfügung der ElCom vom 11. November 2010, inklusive der umstrittenen Ziffer 10, in Rechtskraft erwachsen.</w:t>
      </w:r>
    </w:p>
    <w:p>
      <w:r>
        <w:rPr>
          <w:b/>
        </w:rPr>
        <w:t>E. 2.6</w:t>
      </w:r>
    </w:p>
    <w:p>
      <w:r>
        <w:t>Nur eine kleine Zahl von Netzeigentümern, darunter die heutige Beschwerdegegnerin 1, haben die Verfügung der ElCom bei der Vorinstanz angefochten. Streitgegenstand im vorinstanzlichen Verfahren konnte damit von vornherein nur das Rechtsverhältnis zwischen swissgrid ag und dem jeweils Beschwerde führenden Netzeigentümer sein, nicht aber das Verhältnis zu den anderen Netzeigentümern, welche nicht Beschwerde geführt hatten. Die Vorinstanz hat richtigerweise die swissgrid ag ins Verfahren einbezogen, weil sie notwendige Gegenpartei ist (MARANTELLI-SONANINI/HUBER, in: Praxiskommentar zum VwVG, 2009, Rz. 8 zu Art. 6 VwVG ). Hingegen bestand kein Anlass, die übrigen Netzeigentümer, deren Rechtsverhältnis zu swissgrid ag rechtskräftig entschieden worden ist, ins Verfahren einzubeziehen.</w:t>
      </w:r>
    </w:p>
    <w:p>
      <w:r>
        <w:rPr>
          <w:b/>
        </w:rPr>
        <w:t>E. 2.7</w:t>
      </w:r>
    </w:p>
    <w:p>
      <w:r>
        <w:t>Dementsprechend kann der angefochtene Entscheid nur Rechtswirkungen im Verhältnis zwischen swissgrid ag einerseits und der jeweils Beschwerde führenden Partei (heutige Beschwerdegegnerin 1) haben. Daran ändert nichts, dass im Wortlaut des Dispositivs in genereller Weise die Ziff. 10 der Verfügung der ElCom aufgehoben und festgestellt wird, Stichleitungen gehörten zum Übertragungsnetz; denn das Urteilsdispositiv kann nicht etwas anderes regeln als das, was zum Streitgegenstand gehört. Die Beschwerdeführerinnen bzw. ihre Leitungen waren und sind durch das Urteil der Vorinstanz nicht betroffen. In Bezug auf sie bleibt es bei der Verfügung der ElCom vom 11. November 2010. Die Beschwerdeführerinnen sind daher auch materiell durch das angefochtene Urteil nicht beschwert. Daran vermag auch der Umstand, dass sich die Vorinstanz nicht explizit zu dieser Problematik geäussert hat, nichts zu ändern; allerdings hätte eine diesbezügliche Klarstellung die Beschwerdeführerinnen womöglich davon abgehalten, mit Beschwerde an das Bundesgericht zu gelangen. Immerhin hat die Vorinstanz dadurch, dass sie die übrigen Netzeigentümer nicht ins Verfahren miteinbezogen hat (vgl. E. 2.6 hiervor), deutlich zum Ausdruck gebracht, dass sich ihr Urteil nur auf die Verhältnisse der Beschwerdegegnerin 1 beziehen kann; dementsprechend hat sie auch in Ziff. 3 des angefochtenen Urteils klargestellt, dass nur die erwähnten Stichleitungen zum Übertragungsnetz gehören.</w:t>
      </w:r>
    </w:p>
    <w:p>
      <w:r>
        <w:rPr>
          <w:b/>
        </w:rPr>
        <w:t>E. 2.8</w:t>
      </w:r>
    </w:p>
    <w:p>
      <w:r>
        <w:t>Daraus ergibt sich, dass auf die Beschwerde mangels Legitimation der Beschwerdeführerinnen nicht einzutreten ist.</w:t>
      </w:r>
    </w:p>
    <w:p>
      <w:r>
        <w:rPr>
          <w:b/>
        </w:rPr>
        <w:t>E. 3</w:t>
      </w:r>
    </w:p>
    <w:p>
      <w:r>
        <w:t>Bei diesem Ausgang des Verfahrens tragen die Beschwerdeführerinnen die Kosten des bundesgerichtlichen Verfahrens unter solidarischer Haftung ( Art. 66 Abs. 1 und 5 BGG ). Die nicht anwaltlich vertretenen Beschwerdegegnerinnen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