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732/2008 vom 24. März 2009</w:t>
      </w:r>
    </w:p>
    <w:p>
      <w:r>
        <w:t>Bundesgericht, 2009-03-24, DE</w:t>
      </w:r>
    </w:p>
    <w:p>
      <w:r>
        <w:rPr>
          <w:b/>
        </w:rPr>
        <w:t xml:space="preserve">Quelle: </w:t>
      </w:r>
      <w:r>
        <w:t>https://mcp.opencaselaw.ch/entscheid/bger_2C_732_2008</w:t>
      </w:r>
    </w:p>
    <w:p>
      <w:r>
        <w:t>FR: TF 2C 732/2008 du 24 mars 2009</w:t>
      </w:r>
    </w:p>
    <w:p>
      <w:r>
        <w:t>IT: TF 2C 732/2008 del 24 marzo 2009</w:t>
      </w:r>
    </w:p>
    <w:p>
      <w:pPr>
        <w:pStyle w:val="Heading2"/>
      </w:pPr>
      <w:r>
        <w:t>Regeste</w:t>
      </w:r>
    </w:p>
    <w:p>
      <w:r>
        <w:t>Wiederholung von Verfahrenshandlungen | Immaterialgüter-, Wettbewerbs- und Kartellrecht</w:t>
      </w:r>
    </w:p>
    <w:p>
      <w:pPr>
        <w:pStyle w:val="Heading2"/>
      </w:pPr>
      <w:r>
        <w:t>Erwägungen</w:t>
      </w:r>
    </w:p>
    <w:p>
      <w:r>
        <w:rPr>
          <w:b/>
        </w:rPr>
        <w:t>E. 1.1</w:t>
      </w:r>
    </w:p>
    <w:p>
      <w:r>
        <w:t>Selbständig eröffnete, durch das Bundesverwaltungsgericht bestätigte Vor- und Zwischenentscheide der Wettbewerbskommission über Ausstandsbegehren können mit Beschwerde in öffentlich-rechtlichen Angelegenheiten beim Bundesgericht angefochten werden (vgl. Art. 31 ff. VGG ; Art. 82 ff. und Art. 92 BGG ). Verfahrensgegenstand bildet vorliegend zwar nicht das Ausstandsgesuch gegen Vizedirektor Schaller als solches, da dieser am 15. Juni 2007 von sich aus auf eine weitere Teilnahme an den umstrittenen Verfahren verzichtet hat, jedoch die damit eng verknüpfte Frage, welche Wirkungen bzw. Rechtsfolgen mit diesem Ausstand verbunden sind. Auf die Beschwerde ist deshalb einzutreten.</w:t>
      </w:r>
    </w:p>
    <w:p>
      <w:r>
        <w:rPr>
          <w:b/>
        </w:rPr>
        <w:t>E. 1.2</w:t>
      </w:r>
    </w:p>
    <w:p>
      <w:r>
        <w:t>Als unzulässig erweist sich der Antrag der Beschwerdeführerinnen, die Verfügung der Wettbewerbskommission vom 5. November 2007 aufzuheben: Anfechtungsobjekt vor Bundesgericht bildet nur der diese schützende Entscheid des Bundesverwaltungsgerichts (Devolutiveffekt; vgl. Art. 86 Abs. 1 lit. a BGG ). Die ursprüngliche Verfügung gilt lediglich inhaltlich als mitangefochten (vgl. BGE 129 II 438 E. 1 S. 441; 125 II 29 E. 1c S. 33). Nicht weiter einzugehen ist auch auf die Ausführungen der Beschwerdeführerinnen bezüglich der straf- oder disziplinarrechtlichen Relevanz des am Gespräch vom 11. Juni 2007 Vorgefallenen: Hierzu liegt kein anfechtbarer Entscheid vor; die entsprechenden Fragen bilden nicht Verfahrensgegenstand.</w:t>
      </w:r>
    </w:p>
    <w:p>
      <w:r>
        <w:rPr>
          <w:b/>
        </w:rPr>
        <w:t>E. 2.1</w:t>
      </w:r>
    </w:p>
    <w:p>
      <w:r>
        <w:t>Nach Art. 39 des Bundesgesetzes vom 6. Oktober 1995 über Kartelle und andere Wettbewerbsbeschränkungen (Kartellgesetz, KG; SR 251) finden auf die wettbewerbsrechtlichen Verfahren die Bestimmungen des Verwaltungsverfahrensgesetzes (VwVG; SR 172.021) Anwendung, soweit die Spezialgesetzgebung nichts anderes vorsieht. Art. 22 KG regelt lediglich den Ausstand von Kommissionsmitgliedern; für die Angehörigen des Sekretariats richtet sich dieser in Konkretisierung von Art. 29 Abs. 1 BV (vgl. RETO FELLER, in: Auer/Müller/Schindler, Kommentar zum Bundesgesetz über das Verwaltungsverfahren [VwVG], Zürich/St. Gallen 2008, Rz. 1 zu Art. 10 VwVG ; zur verfassungsrechtlichen Dimension: GEROLD STEINMANN, in: Ehrenzeller/Mastronardi/Schweizer/Vallender, Die schweizerische Bundesverfassung, 2. Aufl., Zürich/St.Gallen 2008, Bd. 1, Rz. 18 zu Art. 29 BV ) nach den allgemeinen Regeln des Verwaltungsverfahrensgesetzes (ROMINA CARCAGNI, in: Baker&amp;McKenzie, Kartellgesetz, Bern 2007, Rz. 35 zu Art. 22 KG ; JÜRG BORER, Kartellgesetz, Zürich 2005, Rz. 23 zu Art. 39 KG ).</w:t>
      </w:r>
    </w:p>
    <w:p>
      <w:r>
        <w:rPr>
          <w:b/>
        </w:rPr>
        <w:t>E. 2.2.1</w:t>
      </w:r>
    </w:p>
    <w:p>
      <w:r>
        <w:t>Danach müssen Personen bei der Vorbereitung und dem Erlass einer Verfügung in den Ausstand treten, die an der Sache ein persönliches Interesse haben ( Art. 10 Abs. 1 lit. a VwVG ), mit einer Partei verwandtschaftlich besonders verbunden sind (Art. 10 Abs. 1 lit. b und bbis VwVG), sich mit der Sache als Parteivertreter bereits beschäftigt haben ( Art. 10 Abs. 1 lit. c VwVG ) oder aus anderen Gründen in der Sache befangen sein könnten ( Art. 10 Abs. 1 lit. d VwVG ). Die Generalklausel von Art. 10 Abs. 1 lit. d VwVG gilt als erfüllt, wenn Tatsachen vorliegen, die das Misstrauen in die Unbefangenheit und damit in die Unparteilichkeit des Amtswalters objektiv rechtfertigen. Auf das subjektive Empfinden der Partei, welche die Befangenheit behauptet, kommt es dabei ebensowenig an ( BGE 111 Ia 259 E. 3a S. 263, 97 I 91 E. 2 S. 94) wie darauf, ob tatsächlich eine Befangenheit besteht ( BGE 97 I 91 E. 3 S. 94 f.; 120 IV 226 E. 4b S. 236 f.). Es genügt, dass der Anschein einer solchen durch objektive Umstände und vernünftige Gründe glaubhaft dargetan erscheint ( BGE 133 I 89 E. 3.2 S. 92 mit Hinweisen; vgl. Art. 36 Abs. 1 Satz 2 BGG ; FELLER, a.a.O., Rz. 15 zu Art. 10 VwVG ). Für verwaltungsinterne Verfahren gilt dabei nicht der gleich strenge Massstab wie gemäss Art. 30 BV und Art. 6 Ziff. 1 EMRK für unabhängige richterliche Behörden (vgl. BGE 125 I 209 E. 8; 112 Ia 142 E. 2d S. 147; FELLER, a.a.O., Rz. 1 zu Art. 10 VwVG ; STEINMANN, a.a.O., Rz. 18 zu Art. 29 BV ; KÖLZ/BOSSHART/RÖHL, Kommentar zum Verwaltungsrechtspflegegesetz des Kantons Zürich, 2. Aufl., Zürich 1999, Rz. 3 zu § 5a VRPG/ZH);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(Urteil 1B_22/2007 vom 29. Mai 2007 E. 3.3; KÖLZ/BOSSHART/RÖHL, a.a.O., Rz. 6 zu § 5a VRPG/ZH). Die für den Anschein der Befangenheit sprechenden Umstände müssen jeweils im Einzelfall unter Berücksichtigung der Funktion und der Organisation der betroffenen Verwaltungsbehörde gewichtet werden ( BGE 127 I 196 E. 2b; BREITENMOSER/SPORI FEDAIL, in: Waldmann/Weissenberger, VwVG, Praxiskommentar, Zürich/Basel/ Genf 2009, Rz. 8 ff. zu Art. 10 VwVG ; FELLER, a.a.O., Rz. 1 zu Art. 10 VwVG ). Ein Ausstandsbegehren ist zwar grundsätzlich in jedem Verfahrensabschnitt zulässig; nach Kenntnis des entsprechenden Grunds ist es jedoch unverzüglich einzureichen; wird hiermit grundlos zugewartet, verstösst dies gegen den Grundsatz von Treu und Glauben ( Art. 5 Abs. 3 BV ) und gilt der Anspruch auf den Ausstand des betreffenden Behördemitglieds oder Sachbearbeiters praxisgemäss als verwirkt (vgl. BGE 134 I 20 E. 4.3.1; 132 II 485 E. 4.3 mit Hinweisen; FELLER, a.a.O., Rz. 35 zu Art. 10 VwVG ).</w:t>
      </w:r>
    </w:p>
    <w:p>
      <w:r>
        <w:rPr>
          <w:b/>
        </w:rPr>
        <w:t>E. 2.2.2</w:t>
      </w:r>
    </w:p>
    <w:p>
      <w:r>
        <w:t>Weder dem Kartellgesetz noch dem Verwaltungsverfahrensgesetz kann entnommen werden, welche Konsequenzen bei der Mitwirkung einer ausstandspflichtigen Person in sachlicher oder zeitlicher Hinsicht zu ziehen sind. Die geeigneten Rechtsfolgen müssen deshalb im Einzelfall aufgrund der konkreten Umstände bestimmt werden, wobei es gilt, einen möglichst sachgerechten Ausgleich zwischen der Verfahrensgerechtigkeit einerseits und der Verwaltungseffizienz andererseits zu schaffen (vgl. TANJA MAIER, Befangenheit im Verwaltungsverfahren, Die Regelungen der EU-Mitgliedstaaten im Rechtsvergleich, Berlin 2001, S. 254 ff.). Grundsätzlich ist der Anspruch auf eine unbefangene Entscheidinstanz formeller Natur; eine Verfügung, die in Missachtung der Ausstandsvorschriften getroffen wurde, ist deshalb regelmässig unabhängig von den Erfolgsaussichten in der Sache selber aufzuheben. Die bundesgerichtliche Praxis lässt eine Heilung in-dessen zu und sieht im Interesse der Verwaltungseffizienz von einer Aufhebung ausnahmsweise dann ab, wenn die Ausstandspflichtsverletzung im Verwaltungsverfahren nicht schwer wiegt und ein Einfluss auf den Inhalt der Entscheidung praktisch ausgeschlossen werden kann (Urteil 1C_378/2008 vom 27. Januar 2009 E. 2.7 unter Hinweis auf die Urteile 1A.160/2004 vom 10. März 2005 E. 2, 2P.152/2002 vom 12. Dezember 2002 E. 3.2, 2A.364/1995 vom 14. Februar 1997 E. 4, in: ZBl 99/1998 S. 289; BENJAMIN SCHINDLER, Die Befangenheit der Verwaltung, Zürich 2002, S. 215 ff.; BREITENMOSER/SPORI FEDAIL, a.a.O., Rz. 103 zu Art. 10 VwVG ; FELLER, a.a.O., Rz. 34 zu Art. 10 VwVG ). Unter Verletzung der Ausstandspflicht vorgenommene Amtshandlungen im Vorfeld des Entscheids, die sich auf diesen auswirken können, sind zu wiederholen, soweit dies möglich ist (BREITENMOSER/SPORI FEDAIL, a.a.O., Rz. 102; KÖLZ/BOSSHART/RÖHL, a.a.O., Rz. 7 zu § 5a VRPG/ZH; REGINA KIENER, Richterliche Unabhängigkeit, Bern 2001, S. 369); nicht erforderlich erscheint dies mangels Relevanz bei einem von einer ausstandspflichtigen Person korrekt durchgeführten Schriftenwechsel, hingegen allenfalls bei einem für den Entscheid wesentlichen Augenschein (so MERKLI/AESCHLIMANN/HERZOG, Kommentar zum Gesetz über die Verwaltungsrechtspflege im Kanton Bern, Bern 1997, Rz. 8 zu Art. 9 VRPG/BE). Die im Ausstand befindliche Person ist auf jeden Fall vom weiteren Meinungsbildungs- und Entscheidungsprozess ausgeschlossen; sie darf an Beratungen und Abstimmungen über den konkreten Fall nicht mehr aktiv teilnehmen oder dabei auch nur anwesend sein; zudem ist ihr Aktenzugang zu beschränken (vgl. CARCAGNI, in: Baker&amp;McKenzie, a.a.O., Rz. 30 zu Art. 22 KG ; BREITENMOSER/SPORI FEDAIL, a.a.O., Rz. 31 zu Art. 10 VwVG ; FELLER, a.a.O., Rz. 32 zu Art. 10 VwVG ; ALESSANDRO BIZZOZERO, in: Tercier/Bovet, Droit de la concurrence, Genf/Basel/München 2002, Rz. 22 zu Art. 22 KG ).</w:t>
      </w:r>
    </w:p>
    <w:p>
      <w:r>
        <w:rPr>
          <w:b/>
        </w:rPr>
        <w:t>E. 2.3.1</w:t>
      </w:r>
    </w:p>
    <w:p>
      <w:r>
        <w:t>Wenn das Bundesverwaltungsgericht bzw. die Wettbewerbskommission davon ausgegangen sind, dass es sich im vorliegenden Fall erübrigte, sämtliche bisherigen Instruktionshandlungen zu wiederholen, an denen Vizedirektor Schaller beteiligt war bzw. für die er die Verantwortung zu übernehmen hatte, ist dies nicht zu beanstanden: Die Beschwerdeführerinnen haben erst gestützt auf den nicht traktandierten und in Abwesenheit des Rechtsvertreters der Telekurs Multipay AG bzw. der Telekurs Card Solutions AG an der Sitzung vom 11. Juni 2007 erfolgten Vorschlag für eine einvernehmliche Lösung im Verfahren "Telekurs/Terminals mit DCC" auf eine mögliche Befangenheit des zuständigen Vizedirektors geschlossen. Der von ihnen gerügte, nicht bestehende Konnex zwischen dem Untersuchungs- und Fusionsverfahren konnte vom betroffenen Vizedirektor frühstens ab Kenntnis des Zusammenschlussvorhabens, d.h. ab der Information vom 14. Mai 2007, gemacht worden sein, weshalb die Amtshandlungen vor diesem Datum an keinem ausstandsrechtlichen Mangel leiden. Die Beschwerdeführerinnen behaupten selber nicht, dass bereits zuvor ein anderer Ausstandsgrund bestanden hätte; ein solcher wäre von ihnen - wie dargelegt - im Übrigen sofort geltend zu machen gewesen, was sie nicht getan haben; im Gegenteil: Bis zum 7. Februar 2007 haben alle im Rahmen der Vorabklärungen Beteiligten - auch die Beschwerdeführerinnen - ausdrücklich ihr Einverständnis zur Übernahme der Akten der Vorabklärungen in die Untersuchung gegeben. Die weiteren Instruktionshandlungen vom 16. März bzw. 2. April 2007 lassen weder ihrem Inhalt noch ihrer Form nach in irgendeiner Weise auf eine Befangenheit des zuständigen Vizedirektors oder der beteiligten Sachbearbeiter schliessen. Es ist nicht ersichtlich, inwiefern diesbezüglich die Korrektheit der Verfahrensführung zu bezweifeln wäre und der Ausgang des Untersuchungsverfahrens nicht mehr als offen gelten könnte.</w:t>
      </w:r>
    </w:p>
    <w:p>
      <w:r>
        <w:rPr>
          <w:b/>
        </w:rPr>
        <w:t>E. 2.3.2</w:t>
      </w:r>
    </w:p>
    <w:p>
      <w:r>
        <w:t>Entgegen den Ausführungen der Beschwerdeführerinnen genügt die rein hypothetische Möglichkeit, dass ein während des Verfahrens zu einem bestimmten bzw. bestimmbaren Zeitpunkt eingetretener Ausstandsgrund sich bereits früher auf das Verfahren ausgewirkt haben könnte, nicht dazu, sämtliche Verfahrensschritte wiederholen zu lassen. Diese Massnahme erwiese sich nur als verhältnismässig, wenn objektive, nachvollziehbare Umstände für einen Anschein der Befangenheit im Zeitpunkt der Vornahme der jeweiligen Instruktionshandlungen selber bestünden. Richtig ist, dass Art. 10 Abs. 1 lit. d VwVG zwar keine tatsächliche Befangenheit voraussetzt, sondern für die Aus-standspflicht bereits den Anschein einer solchen genügen lässt; dieser muss jedoch seinerseits auf Tatsachen beruhen, welche ein Misstrauen in die befangenheitsrechtliche Korrektheit der jeweiligen Amtshandlung konkret nahezulegen vermögen. Soweit die Beschwerdeführerinnen beiläufig auch darauf hinweisen, dass Vizedirektor Schaller "aufgrund der früher" mit ihnen "geführten Untersuchungen" befangen sein könnte, verkennen sie, dass allein die Teilnahme an anderen, allenfalls zu ihren Ungunsten entschiedenen Verfahren keinen entsprechenden Anschein zu begründen vermag (vgl. BGE 114 Ia 278 E. 1).</w:t>
      </w:r>
    </w:p>
    <w:p>
      <w:r>
        <w:rPr>
          <w:b/>
        </w:rPr>
        <w:t>E. 2.3.3</w:t>
      </w:r>
    </w:p>
    <w:p>
      <w:r>
        <w:t>Gegen eine Wiederholung sämtlicher Instruktionshandlungen spricht schliesslich auch der Ablauf des wettbewerbsrechtlichen Verfahrens: Der Gesetzgeber hat mit der Vorabklärung ( Art. 26 KG ) und der Untersuchung ( Art. 27 - 30 KG ) im Wettbewerbsrecht bewusst weitgehend spezialgesetzlich geregelte Verfahren geschaffen; weder die Eröffnung noch die Nichteröffnung einer Vorabklärung oder Untersuchung bilden eine anfechtbare Verfügung; die materiellrechtliche Frage der Zulässigkeit bzw. direkten Sanktionierbarkeit einer Verhaltensweise wird - kommt es zu keiner einvernehmlichen Regelung im Vorverfahren - durch die Wettbewerbskommission und nicht deren Sekretariat entschieden (BGE 2C_292/2008 vom 12. Dezember 2008, E. 3.1.3). Die am Verfahren Beteiligten können vor dem Entscheid zum Antrag des Sekretariats Stellung nehmen ( Art. 30 Abs. 2 KG ). Die Verfahrensherrschaft liegt in diesem Moment ausschliesslich bei der Kommission als solcher, welche korrigierend in die Untersuchung des Sekretariats eingreifen und eine direkte Anhörung der Beteiligten beschliessen oder das Sekretariat anhalten kann, weitere Untersuchungshandlungen vorzukehren ( Art. 30 Abs. 2 KG ; ROMINA CARCAGNI, a.a.O., Rz. 8 ff. zu Art. 30 KG ). Besteht somit eine weitreichende Korrekturmöglichkeit seitens der abschliessend verfügenden Wettbewerbskommission selber, rechtfertigt es sich nicht, ohne konkrete Anhaltspunkte für eine Befangenheit bei den einzelnen Instruktionshandlungen des Sekretariats diese auf Vorrat wiederholen zu lassen. Das gilt um so mehr, als es gerade der gesetzlichen Rolle des Sekretariats entspricht, den Betroffenen einvernehmliche Lösungen vorzuschlagen (vgl. Art. 26 Abs. 2 und Art. 29 KG ), weshalb bereits die Entfernung der diesbezüglichen (internen) Aktennotiz vom 11. Juni 2007 relativ weit geht. Auf das weitere Verfahren darf zwar keine Person Einfluss nehmen, welche an einer ausstandsbegründenden konkreten Amtshandlung mitgewirkt hat; dies bedeutet vorliegend indessen auch aus der Sicht der Beschwerdeführerinnen, welche ausdrücklich nur die Wiederholung der Amtshandlungen beantragen, an denen Vizedirektor Schaller beteiligt war, nicht, dass neben diesem auch dessen direkten oder indirekten Mitarbeiter am Verfahren nicht mehr mitwirken dürften: Ausstandsrechtlich problematisch ist und war nicht der Vorschlag zu einer einvernehmlichen Lösung von Vizedirektor Schaller als solcher, sondern die von ihm gewählte Art und Weise, welche den Eindruck entstehen lassen konnte, dass ein positiver Entscheid im Fusionsdossier von der Annahme der vorgeschlagenen einvernehmlichen Lösung im bereits hängigen Verfahren wegen Marktbeherrschung abhängen könnte. Da für diese (unglückliche) Vorgehensweise allein der zuständige Vizedirektor verantwortlich zeichnete, ist nicht erforderlich, dass nunmehr auch sämtliche Sachbearbeiter im Verfahren 32-0205 ausgewechselt werden müssten. Es genügt, dass diese ihre Arbeit unter der Verantwortung und Weisungsgebundenheit gegenüber einem anderen Direktionsmitglied fortsetzen.</w:t>
      </w:r>
    </w:p>
    <w:p>
      <w:r>
        <w:rPr>
          <w:b/>
        </w:rPr>
        <w:t>E. 3</w:t>
      </w:r>
    </w:p>
    <w:p>
      <w:r>
        <w:t>Die Beschwerde ist somit unbegründet und deshalb abzuweisen, soweit darauf eingetreten werden kann. Dem Verfahrensausgang entsprechend werden die unterliegenden Beschwerdeführerinnen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