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2C_731/2016 vom 25. März 2020</w:t>
      </w:r>
    </w:p>
    <w:p>
      <w:r>
        <w:t>Bundesgericht, 2020-03-25, IT</w:t>
      </w:r>
    </w:p>
    <w:p>
      <w:r>
        <w:rPr>
          <w:b/>
        </w:rPr>
        <w:t xml:space="preserve">Quelle: </w:t>
      </w:r>
      <w:r>
        <w:t>https://mcp.opencaselaw.ch/entscheid/bger_2C_731_2016</w:t>
      </w:r>
    </w:p>
    <w:p>
      <w:r>
        <w:t>FR: TF 2C_731/2016 du 25 mars 2020</w:t>
      </w:r>
    </w:p>
    <w:p>
      <w:r>
        <w:t>IT: TF 2C_731/2016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adempie solo in parte alle condizioni di motivazione esposte. Nella misura in cui non le rispetta è pertanto inammissibile.</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I ricorrenti contestano la ricevibilità di gran parte della risposta del Consiglio di Stato datata 4 ottobre 2016. Da un lato perché ritengono che non si riferisce al loro ricorso. Dall'altro perché reputano che detto allegato contiene una serie di valutazioni ed informazioni che avrebbero dovuto necessariamente essere formulate prima ancora di sottoporre il progetto di legge al Parlamento cantonale, in ogni caso al più tardi prima della votazione popolare.</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facoltà di esporre tutti i loro argomenti, con la facoltà per la controparte di esprimersi in proposito, ciò che i qui ricorrenti hanno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i ricorrenti nella loro qualità di conduttori rispettivamente di proprietari di fondi o d'insieme di fondi sui quali sono presenti 50 posteggi e più per autovetture (il ricorrente 1, quale conduttore, concede in affitto 2'000 posteggi, di cui ne controlla 1'033 quale proprietario di fondi; le ricorrenti 2, 3 e 4, quali proprietarie di fondi, ne controllano 310, 281 e 144), essi fanno parte della cerchia dei soggetti giuridici qualificabili quali debitori della controversa tassa di collegamento (art. 35b e 35c LTPub combinati con l'art. 3 RTColl). Osservano in seguito che l'ammontare dell'onere contributivo (supplementare) a loro carico, generato dall'introduzione della tassa di collegamento contestata, varia da fr. 125'000.-- (ricorrente 4) a fr. 750'000.-- (ricorrente 1). Premesse queste considerazioni, non è quindi per nulla inverosimile che tutti i ricorrenti vengano confrontati con l'applicazione della tassa ora contestata. La loro legittimazione ad agire va pertanto di principio ammessa.</w:t>
      </w:r>
    </w:p>
    <w:p>
      <w:r>
        <w:rPr>
          <w:b/>
        </w:rPr>
        <w:t>E. 1.7.3</w:t>
      </w:r>
    </w:p>
    <w:p>
      <w:r>
        <w:t>Nella propria risposta del 4 ottobre 2016 il Consiglio di Stato domanda di negare ai ricorrenti la legittimazione ad impugnare i modificati art. 11 cpv. 1 e 30 cpv. 3 e 4 LTPub. Secondo il Governo ticinese, il quale ipotizza che gli interessati sono incorsi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 Nella loro replica i ricorrenti non si sono espressi sulla questione. La questione non merita tuttavia ulteriori approfondimenti.</w:t>
      </w:r>
    </w:p>
    <w:p>
      <w:r>
        <w:rPr>
          <w:b/>
        </w:rPr>
        <w:t>E. 1.7.4</w:t>
      </w:r>
    </w:p>
    <w:p>
      <w:r>
        <w:t>Come emerge dal Messaggio del 4 novembre 2015, la modifica degli art. 11 cpv. 1 e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i qui ricorrenti. Al riguardo va pertanto negato a questi ultimi la legittimazione ad impugnarle e, su questo punto, il ricorso si rivela inammissibile.</w:t>
      </w:r>
    </w:p>
    <w:p>
      <w:r>
        <w:rPr>
          <w:b/>
        </w:rPr>
        <w:t>E. 1.7.5</w:t>
      </w:r>
    </w:p>
    <w:p>
      <w:r>
        <w:t>Facendo valere di essere a conoscenza di ulteriori procedure di ricorso pendenti dinanzi a questa Corte contro la LTPub e il RTColl, i ricorrenti chiedono la congiunzione di tutte le cause. Data la quantità dei ricorsi e delle parti ricorrenti in causa, non appare opportuno dare seguito all'istanza, per evidenti motivi d'intelligibilità del giudizio, oltre alla problematica d'individuazione dei singoli ricorrenti. La stessa va pertanto respinta.</w:t>
      </w:r>
    </w:p>
    <w:p>
      <w:r>
        <w:rPr>
          <w:b/>
        </w:rPr>
        <w:t>E. 1.7.6</w:t>
      </w:r>
    </w:p>
    <w:p>
      <w:r>
        <w:t>Nel caso in cui la loro domanda venisse respinta, i ricorrenti richiamano integralmente le allegazioni di fatto e di diritto esposte da tutte le altre persone che hanno presentato dei ricorsi. Un simile richiamo è tuttavia inammissibile, dato che la motivazione dev'essere contenuta nell'atto di ricorso medesimo ( art. 42 cpv. 1 e 2 LTF ; DTF 143 II 283 consid. 1.2.3 pag. 286; 140 III 115 consid. 2 pag. 116 e rispettivi rinvii).</w:t>
      </w:r>
    </w:p>
    <w:p>
      <w:r>
        <w:rPr>
          <w:b/>
        </w:rPr>
        <w:t>E. 2.1</w:t>
      </w:r>
    </w:p>
    <w:p>
      <w:r>
        <w:t>Riassunto l'iter legislativo che ha preceduto l'adozione dei nuovi art. 35a-35t LTPub nonché degli art. 1 a 13 RTColl, i ricorrenti osservano che, benché concepita come un tributo causale, si è in realtà in presenza di un'imposta siccome la tassa di collegamento contestata serve alla copertura dei bisogni finanziari dello Stato. Essi spiegano in seguito perché, a loro avviso, la stessa non è assimilabile ad una tassa di orientamento né ad un'imposta d'orientamento (in sintesi: i soggetti astretti al pagamento non sono quelli di cui si vuole modificare il comportamento; alcun obbligo di riversare la tassa sugli utenti dei posteggi, dunque niente scopo orientativo; impossibilità di scegliere un comportamento conforme agli obiettivi ricercati [rinuncia all'automobile privata] siccome la qualità del servizio pubblico è per lo più scarsa e insufficiente), bensì di un'imposta di attribuzione dei costi, i cui presupposti non sono tuttavia adempiuti (in sintesi: mancanza dei motivi oggettivi e sostenibili che permettono di addossare ai proprietari di fondi muniti di posteggi parte delle spese per il finanziamento del trasporto pubblico; inesistenza del rapporto particolarmente stretto tra queste spese e i contribuenti assoggettati; questi ultimi non approfittano, rispetto al resto della collettività, più intensamente della rete dei trasporti pubblici e non causano in maniera preponderante le spese ivi connesse; arbitrio nella scelta dei criteri di assoggettamento [Comune di situazione; numero di posteggi a disposizione, assenza di franchigia]).</w:t>
      </w:r>
    </w:p>
    <w:p>
      <w:r>
        <w:rPr>
          <w:b/>
        </w:rPr>
        <w:t>E. 2.2</w:t>
      </w:r>
    </w:p>
    <w:p>
      <w:r>
        <w:t>Esposti brevemente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mette in avanti il vantaggio maggiore rispetto alla collettività risultante, per gli assoggettati, dallo sviluppo e il potenziamento dei trasporti pubblici. Al riguardo richiama quanto già attuato negli ultimi anni (il sistema ferroviario regionale Ticino-Lombardia [TILO]; il sistema S-Bahn tra Biasca, Bellinzona, Locarno, Lugano, Mendrisio, Chiasso, Como e Stabio, con nuove fermate presso le zone con importanti generatori di traffico; la frequenza portata ad ogni 15 minuti di certe linee che servono l'area industriale di Bioggio ed Agno; il potenziamento del servizio su gomma per le principali zone industriali e commerciali), quanto prospettato (estensione del TILO; realizzazione della rete tram-treno del Luganese; potenziamento del servizio su gomma nelle zone con importanti generatori di traffico attorno agli agglomerati di Locarno e Lugano), nonché precisa che la capillarità della rete dei trasporti pubblici contribuisce in modo rilevante all'attrattiva della localizzazione. Osserva poi che detto vantaggio non dipende dal fatto che ne facciano un uso immediato e/o diretto e, infine, sottolinea che la mobilità e la raggiungibilità sono migliorate (elementi che hanno, in particolare per le aziende e per i commerci, un valore economico). Dall'altro rileva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w:t>
      </w:r>
    </w:p>
    <w:p>
      <w:r>
        <w:t>Come sottolineato dal Consiglio di Stato e peraltro rilevato dai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I ricorrenti si dolgono della disattenzione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 art. 8 Cost. )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richiami),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I ricorrenti sostengono che la tassa di collegamento viola sotto più aspetti il principio dell'uguaglianza dell'imposizione. In primo luogo contestano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e producono una cartina ove detti Comuni sono evidenziati.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È dubbio che la critica, non meglio sostanziata (art. 42 cpv. 2 e 106 cpv. 2 LTF), sia ammissibile. Il quesito può rimanere irrisolto dato che, per i motivi esposti di seguito, la stessa si rivela infondata.</w:t>
      </w:r>
    </w:p>
    <w:p>
      <w:r>
        <w:t>Il Consiglio di Stato da parte sua spiega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i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dai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I ricorrenti intravedono in seguito una disattenzione del principio della parità di trattamento nel fatto che, in applicazione dell'art. 35b cpv. 2 LTPub, i posti auto al servizio di abitazioni sono esclusi dall'assoggettamento. La censura, non meglio sostanziata, non adempie le esigenze di motivazione poste dai combinati art. 42 cpv. 2 e 106 cpv. 2 Cost.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i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Allo stesso modo nulla giustificherebbe di escludere dall'assoggettamento i fondi sui quali vi sono meno di 50 posteggi. Fanno poi valere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per lo meno teorica, non permetterebbe, secondo i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dai ricorrenti, che la totalità delle imposte che lo Stato prevede d'incassare per mezzo della tassa di collegamento grava solo una minoranza di proprietari fondiari,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i qui ricorrenti, dispongono di centinaia o addirittura di migliaia di posteggi (vedasi pag. 6 del ricorso, 2000 posteggi per il ricorrente 1, 310 per la ricorrente 2, 281 per la ricorrente 3 e 144 per la ricorrente 4) e non possono quindi beneficiare delle riduzioni previste dalla legge e per i quali l'onere contributivo risulta rilevante (fr. 750'000.--, fr. 225'000.--, fr. 212'500.-- e fr. 125'000.-- annui). Senza dimenticare che appare complicato se non impossibile per loro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trascurare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in fine)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6.1</w:t>
      </w:r>
    </w:p>
    <w:p>
      <w:r>
        <w:t>I ricorrenti intravedono arbitrio nel fatto che, in applicazione dell'art. 35e cpv. 5 LTPub, ai fini dell'assoggettamento fa stato il numero complessivo di posteggi autorizzati e non quelli utilizzati. In altre parole, se un proprietario dispone di 60 posteggi e ne utilizza solo 40 egli è comunque assoggettato, sebbene unicamente su quelli in esercizio. L'unico modo per evitare l'assoggettamento è di notificare la dismissione del posteggio (renderlo cioè definitivamente inaccessibile) allorché in un passato non troppo remoto lo stesso Stato ne ha imposto l'edificazione nell'ambito delle procedure edilizie, ciò che costituisce un "venire contra factum" pacchiano.</w:t>
      </w:r>
    </w:p>
    <w:p>
      <w:r>
        <w:rPr>
          <w:b/>
        </w:rPr>
        <w:t>E. 6.2</w:t>
      </w:r>
    </w:p>
    <w:p>
      <w:r>
        <w:t>Il Consiglio di Stato da parte sua (risposta del 4 ottobre 2016 pag. 42) spiega che la legge prevede due distinte situazioni, la collocazione fuori servizio dei posteggi e la loro dismissione (cfr. art. 35e e 35f LTPub). Nel primo caso viene solo inibito l'uso del posteggio (e il proprietario può quindi decidere, in ogni momento, di riutilizzarlo), che non viene conteggiato ai fini del calcolo dell'imposta, ma viene considerato ai fini dell'assoggettamento, senza possibili bonus. Nel secondo caso, vi è una rinuncia definitiva alla licenza edilizia e il posteggio non è conteggiato né ai fini dell'assoggettamento né per il calcolo dell'imposta ed entrano in considerazione dei bonus. Tenuto conto di queste spiegazioni e rammentato che il rilascio di una licenza edilizia non esclude di principio che l'impianto e/o la costruzione oggetto della medesima sia poi assoggettato/a ad un'imposta così come del fatto che il principio della buona fede non consente di opporsi a un cambiamento di regolamentazione o di sottrarsi all'applicazione del nuovo diritto per il fatto di avere semplicemente preso determinate disposizioni sulla base del diritto anteriore ( DTF 122 V 405 consid. 3b/bb pag. 408 e rinvii), ne discende che la censura, priva di pertinenza, dev'essere respinta.</w:t>
      </w:r>
    </w:p>
    <w:p>
      <w:r>
        <w:rPr>
          <w:b/>
        </w:rPr>
        <w:t>E. 6.3</w:t>
      </w:r>
    </w:p>
    <w:p>
      <w:r>
        <w:t>A parere dei ricorrenti l'art. 35g cpv. 2 LTPub, secondo il quale "sino alla cessazione dell'uso indebito o al conseguimento di un'autorizzazione a posteriori, i proprietari di fondi interamente o parzialmente adibiti a posteggio in assenza di valida autorizzazione edilizia devono versare un importo sostitutivo", e ciò indipendentemente dal reale utilizzo e dal numero dei posteggi, violerebbe il divieto dell'arbitrio: in effetti, la maggior parte di questi parcheggi esistono da decenni, senza contestazione alcuna da parte dello Stato. A loro avviso, la spada di Damocle (</w:t>
      </w:r>
    </w:p>
    <w:p>
      <w:r>
        <w:t>"fino ad un'eventuale sanatoria" ) di cui all'art. 35g cpv. 2 LTPub è un atto di prevaricazione dello Stato nei confronti del cittadino. Sennonché su questo punto i ricorrenti si limitano ad esporre la loro opinione, senza spiegare in maniera esauriente (art. 42 cpv 2 e 106 cpv. 6 LTF) in che la norma contestata sarebbe manifestamente insostenibile, in contraddizione palese con la situazione effettiva, gravemente lesiva di chiaro e indiscusso principio giuridico o in contrasto intollerabile con il sentimento di giustizia e di equità (su questa nozione cfr. DTF 141 III 564 consid. 4.1 pag. 566 con rinvii). La censura sfugge ad un esame di merito.</w:t>
      </w:r>
    </w:p>
    <w:p>
      <w:r>
        <w:rPr>
          <w:b/>
        </w:rPr>
        <w:t>E. 7.1</w:t>
      </w:r>
    </w:p>
    <w:p>
      <w:r>
        <w:t>I ricorrenti fanno poi valere la violazione della garanzia della proprietà privata tutelata dall' art. 26 Cost. Rilevano che l'importo annuo da pagare, nel caso di un fondo con 100 posteggi in esercizio sei giorni alla settimana, ammonta per ogni singolo posteggio a fr. 1'050.-- annui, cioè un importo largamente superiore ai canoni di locazione da loro praticati, i quali variano da fr. 50.-- a fr. 80.-- mensili per posti esterni e da fr. 100.-- a fr. 130.-- per posti coperti. Essi non trarranno quindi più alcun reddito dalla locazione di posteggi (che rischia anzi di diventare un costo per loro), dato che per potere conseguire un guadagno dovrebbero raddoppiare il canone dei loro posteggi. Senza dimenticare che l'eventuale reddito generato dalla locazione dei posteggi è già gravato dalle imposte ordinarie.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i ricorrenti non forniscono elementi o dati atti a provare che l'imposta querelata li priverebbe di una parte esorbitante della loro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I ricorrenti fanno valere in seguito una violazione del principio della libertà economica ( art. 27 e 94 Cost. ) sia per quanto concerne la loro attività aziendale (ricorrente 4) sia per quanto attiene alla loro attività di locatori (tutti i ricorrenti). Affermano che il tributo querelato supplementare, estremamente oneroso, riduce la loro capacità concorrenziale rispettivamente che l'aggravio in questione li discrimina rispetto ad altri concorrenti esentati poiché i loro fondi sono situati in Comuni non assoggettati alla legge. Donde una chiara violazione della libertà economica.</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i ricorrenti non forniscono alcun elemento che dimostri che la tassa di collegamento è proibitiva e impedisce loro di realizzare un beneficio conveniente. Per il resto le censure sollevate si confondono con quelle formulate riguardo alla violazione del principio dell'uguaglianza di trattamento, più particolarmente tra concorrenti diretti, che sono state giudicate infondate. Al riguardo si può rinviare a quanto detto in proposito (cfr. consid. 5.3). Anche su questo punto, il ricorso si rivela privo di pertinenza e va pertanto respinto.</w:t>
      </w:r>
    </w:p>
    <w:p>
      <w:r>
        <w:rPr>
          <w:b/>
        </w:rPr>
        <w:t>E. 8.3</w:t>
      </w:r>
    </w:p>
    <w:p>
      <w:r>
        <w:t>A parere dei ricorrenti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e/o per procedere alle inevitabili modifiche delle aree di posteggio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infatti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I ricorrenti hanno quindi beneficiato di tutto il tempo necessario per prepararsi adeguatamente all' (eventuale) entrata in vigore della legislazione contestata.</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Come appena illustrato 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dei ricorrenti, soccombenti, con vincolo di solidarietà ( art. 65 e 66 cpv. 1 e 5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