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2C_730/2016 vom 25. März 2020</w:t>
      </w:r>
    </w:p>
    <w:p>
      <w:r>
        <w:t>Bundesgericht, 2020-03-25, IT</w:t>
      </w:r>
    </w:p>
    <w:p>
      <w:r>
        <w:rPr>
          <w:b/>
        </w:rPr>
        <w:t xml:space="preserve">Quelle: </w:t>
      </w:r>
      <w:r>
        <w:t>https://mcp.opencaselaw.ch/entscheid/bger_2C_730_2016</w:t>
      </w:r>
    </w:p>
    <w:p>
      <w:r>
        <w:t>FR: TF 2C_730/2016 du 25 mars 2020</w:t>
      </w:r>
    </w:p>
    <w:p>
      <w:r>
        <w:t>IT: TF 2C_730/2016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e la replica adempiono solo in parte alle condizioni di motivazione esposte. Nella misura in cui non le rispettano sono pertanto inammissibili.</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rPr>
          <w:b/>
        </w:rPr>
        <w:t>E. 1.6.1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1.6.2</w:t>
      </w:r>
    </w:p>
    <w:p>
      <w:r>
        <w:t>Secondo la ricorrente, nella sua qualità di proprietaria di un fondo ubicato in un comune che rientra nell'imposizione e sul quale è insediato un polo farmaceutico formato da diverse ditte locatarie che vi svolgono le loro attività e ove sono presenti 216 posteggi, essa fa parte della cerchia dei soggetti giuridici qualificabili quali debitori della controversa tassa di collegamento (art. 35h combinato con l'art. 35b LTPub). Premesse queste considerazioni, non è quindi per nulla inverosimile che la ricorrente venga confrontata con l'applicazione della tassa ora contestata. La sua legittimazione ad agire va pertanto di principio ammessa.</w:t>
      </w:r>
    </w:p>
    <w:p>
      <w:r>
        <w:rPr>
          <w:b/>
        </w:rPr>
        <w:t>E. 1.6.3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 La ricorrente non si è espressa sull'argomento. Non occorre indagare oltre.</w:t>
      </w:r>
    </w:p>
    <w:p>
      <w:r>
        <w:rPr>
          <w:b/>
        </w:rPr>
        <w:t>E. 1.6.4</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le va pertanto negato la legittimazione ad impugnarle e, su questo punto, il ricorso si rivela inammissibile.</w:t>
      </w:r>
    </w:p>
    <w:p>
      <w:r>
        <w:rPr>
          <w:b/>
        </w:rPr>
        <w:t>E. 2.1</w:t>
      </w:r>
    </w:p>
    <w:p>
      <w:r>
        <w:t>Presentato l'iter legislativo che ha preceduto l'adozione delle modifiche legislative oggetto di disamina, la ricorrente osserva che la tassa di collegamento non è più un tributo causale come quello che la legge del 1994 poneva a carico dei "generatori di importanti correnti di traffico in funzione del volume di traffico generato e dei vantaggi particolari ottenuti", bensì un'imposta versata all'ente pubblico quale partecipazione ai costi generali o speciali dello stesso a prescindere da qualsiasi controprestazione. Essa spiega poi perché, a suo avviso, detto tributo - che è un'imposta speciale, con una finalità composita (diminuzione del traffico stradale individuale e finanziamento del trasporto pubblico) - non adempirebbe né i requisiti di un'imposta a destinazione vincolata di attribuzione dei costi (gli assoggettati non ne ritraggono un vantaggio particolare rispettivamente non sussistono motivi oggettivi e ragionevoli per chiamarli a partecipare alla copertura di costi che dovrebbero essere coperti dalle imposte generali; inesistenza del rapporto particolarmente stretto tra queste spese e i contribuenti assoggettati; questi ultimi non approfittano, rispetto al resto della collettività, più intensamente della rete dei trasporti pubblici e non causano in maniera preponderante le spese ivi connesse; impossibilità di verificare quali sono le voci di spese [cioè come sono composte] che si vogliono ribaltare sui privati) né quelli di un'imposta d'orientamento (i soggetti [proprietari di fondi su cui vi sono più di 50 posteggi] astretti al pagamento non solo quelli [utenti] di cui si vuole modificare il comportamento; assenza dell'obbligo di ribaltare la tassa sugli utenti la quale è, quindi, inidonea a conseguire l'obiettivo ricercato [ridurre il traffico veicolare privato, incentivando l'uso dei trasporti pubblici], tanto più viste le difficoltà oggettive, giuridiche e fattuali ivi connesse nonché disattenzione del principio "chi inquina paga ( art. 2 LPAmb ) "; in realtà l'obiettivo è unicamente fiscale e non orientativo; impossibilità di scegliere un comportamento conforme agli scopi ricercati siccome la qualità del servizio pubblico è per lo più scarsa e insufficiente; la cerchia degli assoggettati è discriminatoria).</w:t>
      </w:r>
    </w:p>
    <w:p>
      <w:r>
        <w:rPr>
          <w:b/>
        </w:rPr>
        <w:t>E. 2.2</w:t>
      </w:r>
    </w:p>
    <w:p>
      <w:r>
        <w:t>Esposti i motivi che hanno portato, tra l'altro, all'adozione della tassa di collegamento, ossia la volontà -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mette in avanti il vantaggio maggiore rispetto alla collettività risultante, per gli assoggettati, dallo sviluppo e il potenziamento dei trasporti pubblici. Al riguardo richiama quanto già attuato negli ultimi anni (il sistema ferroviario regionale Ticino-Lombardia [TILO]; il sistema S-Bahn tra Biasca, Bellinzona, Locarno, Lugano, Mendrisio, Chiasso, Como e Stabio, con nuove fermate presso le zone con importanti generatori di traffico; la frequenza portata ad ogni 15 minuti di certe linee che servono l'area industriale di Bioggio ed Agno; il potenziamento del servizio su gomma per le principali zone industriali e commerciali), quanto prospettato (estensione del TILO; realizzazione della rete tram-treno del Luganese; potenziamento del servizio su gomma nelle zone con importanti generatori di traffico attorno agli agglomerati di Locarno e Lugano), nonché precisa che la capillarità della rete dei trasporti pubblici contribuisce in modo rilevante all'attrattiva della localizzazione. Osserva poi che detto vantaggio non dipende dal fatto che ne facciano un uso immediato e/o diretto e, infine, sottolinea che la mobilità e la raggiungibilità sono migliorate (elementi che hanno, in particolare per le aziende e per i commerci, un valore economico). Dall'altro rileva il particolare rapporto con i costi, essendo indubbio che i principali responsabili della situazione viaria satura esistente oggigiorno sono i proprietari dei fondi su cui si trovano i posteggi a disposizione dei pendolari e della clientela commerciale. 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w:t>
      </w:r>
    </w:p>
    <w:p>
      <w:r>
        <w:t>a ed. 2001-2002, § 1 n. 3 seg.; ADRIAN HUNGERBÜHLER, Grundsätze des Kausalabgabenrechts, ZBl 104/2003 pag. 505 ss, segnatamente pag. 507; XAVIER OBERSON, Droit fiscal suisse, 4</w:t>
      </w:r>
    </w:p>
    <w:p>
      <w:r>
        <w:t>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6.5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un difetto di base legale (art. 5 cpv. 1 in relazione con l' art. 127 cpv. 1 Cost. ). La legge infatti non definirebbe il modo di calcolare l'ammontare della tassa di collegamento, oltre a non contenere nulla riguardo ai costi da finanziare e ai prevedibili incassi. È dubbio che la censura, non meglio sostanziata (art. 42 cpv. 2 e 106 cpv. 2 LTF), sia ricevibile. Il quesito può rimanere irrisolto poiché la stessa, per i motivi esposti di seguito si rivela comunque priva di pertinenza.</w:t>
      </w:r>
    </w:p>
    <w:p>
      <w:r>
        <w:rPr>
          <w:b/>
        </w:rPr>
        <w:t>E. 4.2</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 DTF 143 I 220 consid. 5.1.1 pag. 224 e rinvii).</w:t>
      </w:r>
    </w:p>
    <w:p>
      <w:r>
        <w:t>Come spiegato dal Consiglio di Stato (risposta del 4 ottobre 2016 pag. 43), la determinazione dell'onere tributario avviene sia in base alla forchetta di cui all'art. 35e cpv. 1 lett. a e b LTPub sia tenendo conto del fatto che deve finanziare le spese di gestione (le quali sono chiaramente definite agli art. 23 cpv. 2 e 24 LTPub nonché nel Messaggio del 4 novembre 2015 punto 3) dell'offerta di trasporto pubblico, segnatamente 1/3 degli oneri a carico del Cantone, dedotti i contributi della Confederazione, dei Comuni e di terzi (art. 35a e 35e cpv. 1 LTPub). Per quanto concerne i presunti incassi, emerge dalla risposta (sempre del 4 ottobre 2016) data dal Governo ticinese in una causa parallela (sentenza 2C_754/2016 decisa in data odierna consid. 2.2 penultimo paragrafo) che, in base alle previsioni per il quadriennio 2016-2019, l'onere a carico del Cantone per il trasporto pubblico aumenterà da fr. 55.2 a fr. 58.3 milioni all'anno, ragione per cui con la tassa di collegamento s'intende ottenere entrate annue di circa fr. 18 milioni (fr. 6 milioni con i posteggi commerciali e fr. 12 milioni con quelli destinati ai pendolari) e le tariffe giornaliere sono state fissate in conseguenza (art. 35e cpv. 1 LTPub e art. 7 TColl). Premesse queste considerazioni, appaiono soddisfatti i criteri posti riguardo all'esigenza della base legale. La censura, infondata, va respinta.</w:t>
      </w:r>
    </w:p>
    <w:p>
      <w:r>
        <w:rPr>
          <w:b/>
        </w:rPr>
        <w:t>E. 5.1</w:t>
      </w:r>
    </w:p>
    <w:p>
      <w:r>
        <w:t>La ricorrente lamenta poi la disattenzione dei principi della generalità e dell'uniformità dell'imposizione come pure dell'imposizione secondo la capacità economica ( art. 127 cpv. 2 Cost. ) nonché di vari diritti e principi costituzionali, cioè l'uguaglianza giuridica ( art. 8 Cost. ), il divieto dell'arbitrio ( art. 9 Cost. ), la certezza del diritto e la buona fede ( art. 5 cpv. 3 Cost. ), la garanzia della proprietà privata ( art. 26 Cost. ) e la libertà economica ( art. 27 e 94 Cost. ), nonché dell' art. 74 Cost. combinato con l' art. 41 cpv. 1 LPAmb , dell' art. 81a Cost. e, infine, degli art. 8 cpv. 2 h, i nonché 15 Cost./TI. Occorre quindi esaminare se l'attuazione della tassa di collegamento è avvenuta rispettando i medesimi.</w:t>
      </w:r>
    </w:p>
    <w:p>
      <w:r>
        <w:rPr>
          <w:b/>
        </w:rPr>
        <w:t>E. 5.2.1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5.2.2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5.2.3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5.2.4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5.2.5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6.1</w:t>
      </w:r>
    </w:p>
    <w:p>
      <w:r>
        <w:t>La ricorrente sostiene che la tassa di collegamento viola sotto più aspetti il principio dell'uguaglianza dell'imposizione. In primo luogo contesta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È dubbio che la critica, non meglio sostanziata (art. 42 cpv. 2 e 106 cpv. 2 LTF), sia ammissibile. Il quesito può rimanere irrisolto dato che, per i motivi esposti di seguito, la stessa si rivela infondata.</w:t>
      </w:r>
    </w:p>
    <w:p>
      <w:r>
        <w:t>Il Consiglio di Stato da parte sua spiega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LPAmb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6.2</w:t>
      </w:r>
    </w:p>
    <w:p>
      <w:r>
        <w:t>La ricorrente intravede in seguito un'ulteriore disattenzione del principio dell'uguaglianza dell'imposizione nel fatto che i posti auto al servizio di abitazioni sono esclusi dall'assoggettamento (art. 35b cpv. 2 LTPub) così come quelli destinati esclusivamente alle attività alberghiere e di ristorazione, attività di svago, luoghi di culto, ecc. (art. 35d LTPub e 6 RTColl).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per quanto concerne i posteggi al servizio dell'abitazione, gli stessi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Per quanto riguarda invece i parcheggi destinati ad attività alberghiere e di ristorazione, dei luoghi di culto, ecc., il Consiglio di Stato osserva che la loro esenzione è dovuta al fatto che il loro apporto alla situazione di saturazione nei punti sensibili della rete viaria nelle ore di punta è marginale, ragione per cui tassarli non condurrebbe a risultati apprezzabili. Queste spiegazioni, che la ricorrente non rimette in discussione limitandosi a ribadire sommariamente quanto affermato nel proprio gravame (replica del 23 novembre 2016 pag. 4), fanno apparire del tutto accettabile la differenziazione attuata, la quale non dà pertanto luogo ad una disparità di trattamento.</w:t>
      </w:r>
    </w:p>
    <w:p>
      <w:r>
        <w:rPr>
          <w:b/>
        </w:rPr>
        <w:t>E. 6.3.1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la ricorrente sostiene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dato che questi proprietari non traggono alcun vantaggio o beneficio dal finanziamento del trasporto pubblico rispetto alla collettività o a qualsiasi altro stabile commerciale o industriale dotato di posteggi. Allo stesso modo nulla giustificherebbe di escludere dall'assoggettamento i fondi sui quali vi sono meno di 50 posteggi, ragione per cui detta soglia sarebbe del tutto arbitraria, senza tralasciare che la stessa non avrebbe alcun legame con le spese del trasporto pubblico che l'imposta querelata si prefigge di finanziare. Infine, osserva che la possibilità di ribaltare il tributo contestato sugli utenti è più che dubbia e non tiene conto delle difficoltà oggettive, giuridiche e fattuali (per i clienti: posa di barriere, distributori di biglietti, con conseguente intasamento degli accessi; per i dipendenti: modifica dei contratti di locazione e di lavoro).</w:t>
      </w:r>
    </w:p>
    <w:p>
      <w:r>
        <w:rPr>
          <w:b/>
        </w:rPr>
        <w:t>E. 6.3.2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6.3.3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grava solo una minoranza di proprietari fondiari,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dispongono di centinaia o migliaia di posteggi e che non possono quindi beneficiare delle riduzioni previste dalla legge e per i quali l'onere contributivo risulta rilevante. Senza dimenticare che appare complicato se non impossibile per la qui ricorrente, proprietaria di 216 posteggi,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trascurare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quindi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6.4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 "carpooling"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6.5</w:t>
      </w:r>
    </w:p>
    <w:p>
      <w:r>
        <w:t>La legge, al suo articolo 35t, prevede, come già accennato (consid. 3.5.2 in fine)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7</w:t>
      </w:r>
    </w:p>
    <w:p>
      <w:r>
        <w:t>La ricorrente lamenta la violazione degli art. 8 cpv. h e i nonché 15 Cost./TI. La censura, che si limita a citare i suddetti disposti, non adempie all'evidenza le esigenze di motivazione di cui agli art. 42 cpv. 2 e 106 cpv. 2 LTF. La stessa sfugge ad un esame di merito.</w:t>
      </w:r>
    </w:p>
    <w:p>
      <w:r>
        <w:rPr>
          <w:b/>
        </w:rPr>
        <w:t>E. 8.1</w:t>
      </w:r>
    </w:p>
    <w:p>
      <w:r>
        <w:t>La ricorrente adduce in seguito che nella misura in cui la tassa è imposta anche sui posteggi che, per l'art. 60 RLst devono in ogni caso essere realizzati, viene disatteso il divieto di comportamento contraddittorio, discendente dal principio della buona fede, nonché violato il principio della certezza del diritto. Afferma che è contraddittorio imporre la formazione di posteggi che generano traffico veicolare e disincentivano l'uso dei mezzi di trasporto pubblici per poi assoggettarli ad un'imposta volta a ridurre il traffico veicolare e a promuovere l'uso dei trasporti pubblici. Fa valere che nel 2009 l'autorità, in applicazione del Regolamento cantonale posteggi privati (Rcpp) allora in vigore, le ha imposto la realizzazione di un numero minimo di posteggi sull'area laddove ora introduce a suo carico il prelievo di un tributo per ogni posteggio realizzato.</w:t>
      </w:r>
    </w:p>
    <w:p>
      <w:r>
        <w:rPr>
          <w:b/>
        </w:rPr>
        <w:t>E. 8.2</w:t>
      </w:r>
    </w:p>
    <w:p>
      <w:r>
        <w:t>Sennonché, ancora una volta, la critica è immotivata (art. 42 cpv. 2 e 106 cpv. 2 LTF), limitandosi la ricorrente ad esporre la propria opinione senza spiegare in maniera esauriente in che consisterebbero le violazioni lamentate. In proposito il gravame è inammissibile.</w:t>
      </w:r>
    </w:p>
    <w:p>
      <w:r>
        <w:t>Tutt'al più va osservato quanto segue. Come spiegato dal Consiglio di Stato (risposta del 4 ottobre 2016 pag. 42), il fatto che il numero attuale dei posteggi sia stato giudicato ammissibile in base al Regolamento cantonale posteggi privati (Rcpp) vigente all'epoca (versione in vigore dal 1° gennaio 2006, BU 2005, 193) non esclude che il proprietario possa (ora) chiederne la riduzione in applicazione dell'attuale regolamento (in vigore dal 19 maggio 2015, BU 2015, 236), più restrittivo. Come risulta dalla normativa determinante, il numero dei posteggi necessari (cioè il numero minimo di posteggi di cui occorre disporre quanto quello massimo realizzabile, cfr. art. 52 cpv. 3 RLst) è determinato (art. 51 RLst) in funzione della qualità del servizio di trasporto pubblico (art. 53-60 RLst, il cui capoverso 4 permette di applicare valori ancora più restrittivi, in combinazione con un piano di mobilità per gli spostamenti generati dai contenuti della costruzione) o di situazioni particolari (art. 61 RLst) oppure mediante la valutazione del singolo caso (art. 61a RLst). È quindi errato sostenere che il numero dei posteggi non può essere ridotto, le relative norme ora in vigore essendo più restrittive.</w:t>
      </w:r>
    </w:p>
    <w:p>
      <w:r>
        <w:rPr>
          <w:b/>
        </w:rPr>
        <w:t>E. 9.1</w:t>
      </w:r>
    </w:p>
    <w:p>
      <w:r>
        <w:t>Richiamando gli art. 5 Cost. (secondo cui l'attività dello Stato deve rispettare i principi della legalità e della proporzionalità nonché l'interesse pubblico) e 36 cpv. 1 a 4 Cost. (il quale prevede che ogni restrizione di un diritto fondamentale dev'essere fondata su di una base legale, essere giustificata da un interesse pubblico preponderante, rispettare il principio della proporzionalità e non ledere l'essenza dell'istituto), la ricorrente fa poi valere la violazione della garanzia della proprietà tutelata dall' art. 26 Cost. Rileva che gli importi minimi e massimi di cui ai combinati art. 35e LTPub e 7 RTColl sono eccessivi. Afferma che nel caso di un fondo con posteggi per i dipendenti e per i clienti e visitatori utilizzati cinque rispettivamente sei giorni alla settimana, il tributo è pari a fr. 903.-- rispettivamente a fr. 464.40 all'anno. Importi che superano il costo dei posteggi locati nelle zone industriali e commerciali del Cantone, dato che, ad esempio, i canoni di locazione praticati dalle FFS ammontano a circa fr. 600.-- annui. Senza dimenticare che il reddito immobiliare generato dallo sfruttamento commerciale dei posteggi è già sottoposto alle imposte ordinarie. Si è quindi in presenza di una doppia imposizione inammissibile, eccessiva, confiscatoria.</w:t>
      </w:r>
    </w:p>
    <w:p>
      <w:r>
        <w:rPr>
          <w:b/>
        </w:rPr>
        <w:t>E. 9.2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9.3</w:t>
      </w:r>
    </w:p>
    <w:p>
      <w:r>
        <w:t>Nel caso specifico la ricorrente non fornisce elementi o dati atti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10.1</w:t>
      </w:r>
    </w:p>
    <w:p>
      <w:r>
        <w:t>La ricorrente fa valere in seguito una violazione del principio della libertà economica ( art. 27 e 94 Cost. ). Adduce che il tributo querelato, estremamente elevato, riduce la sua capacità concorrenziale sia da un profilo generale (rispetto a concorrenti esentati) sia perché condiziona negativamente la sua attività economica e, di riflesso, la svantaggia nei confronti di altri concorrenti.</w:t>
      </w:r>
    </w:p>
    <w:p>
      <w:r>
        <w:rPr>
          <w:b/>
        </w:rPr>
        <w:t>E. 10.2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9), la ricorrente non fornisce alcun elemento che dimostri che la tassa di collegamento è proibitiva e l'impedisce di realizzare un beneficio conveniente. Per il resto le censure sollevate si confondono con quelle formulate riguardo alla violazione del principio dell'uguaglianza di trattamento, più particolarmente tra concorrenti diretti, che sono state giudicate infondate. Al riguardo si può rinviare a quanto detto in proposito (cfr. consid. 6.3.3). Anche su questo punto, il ricorso si rivela privo di pertinenza e va pertanto respinto.</w:t>
      </w:r>
    </w:p>
    <w:p>
      <w:r>
        <w:rPr>
          <w:b/>
        </w:rPr>
        <w:t>E. 11.1</w:t>
      </w:r>
    </w:p>
    <w:p>
      <w:r>
        <w:t>La ricorrente censura la disattenzione dell' art. 81a Cost. , il quale prevede (cpv. 2) che i costi dei trasporti pubblici sono coperti in misura adeguata dai prezzi pagati dagli utenti dei trasporti pubblici. Sennonché la tassa di collegamento contestata pone a carico dei proprietari di oltre 50 posteggi, non degli utenti, una parte considerevole dei citati costi. Osserva poi che il primo capoverso della norma in questione impone allo Stato di prima realizzare l'offerta del trasporto pubblico e poi di porne i costi a carico di chi ne trae maggiormente vantaggio. Ora, la LTPub mette a carico dei privati i costi in questione prima che il trasporto pubblico venga realizzato e offerto.</w:t>
      </w:r>
    </w:p>
    <w:p>
      <w:r>
        <w:rPr>
          <w:b/>
        </w:rPr>
        <w:t>E. 11.2</w:t>
      </w:r>
    </w:p>
    <w:p>
      <w:r>
        <w:t>La critica è inconferente. Come emerge dal Messaggio concernente l'iniziativa popolare «Per i trasporti pubblici» e il controprogetto diretto (Decreto federale concernente il finanziamento e l'ampliamento dell'infrastruttura ferroviaria, FAIF) del 18 gennaio 2012 (FF 2012 1283 e segg.), l' art. 81a Cost. , in vigore dal 1° gennaio 2016 (RU 2015 645), crea un mandato costituzionale per l'implementazione del sistema svizzero dei trasporti pubblici in tutte le sue forme (cpv. 1). Altrimenti detto questa disposizione affida alla Confederazione e ai Cantoni (la cui ripartizione di competenze non viene toccata) il mandato di promuovere l'obiettivo di garantire un'offerta sufficiente di trasporti pubblici. Si è in presenza di una norma costituzionale di natura programmatica, la quale non costituisce alcuna base per rivendicare diritti immediati su prestazioni di trasporto. In queste condizioni contrariamente a quanto addotto dalla ricorrente, non vi è alcun obbligo di realizzare prima l'offerta di trasporti pubblici (FF 2012 1384 seg.; FELIX UHLMANN, St. Galler Kommentar BV, 3a ed. 2014, nota 19 all' art. 81a Cost. ; MARKUS KERN, in: Basler Kommentar BV, 2014, nota 2 all' art. 81a Cost. )</w:t>
      </w:r>
    </w:p>
    <w:p>
      <w:r>
        <w:t>Con riferimento al secondo capoverso, sempre dal citato Messaggio emerge che al fine di evitare che la mobilità sia troppo conveniente (e che la domanda cresca a dismisura causando, tra l'altro, costi d'investimento sempre maggiori) è stato posto l'accento sulla partecipazione degli utenti e dei beneficiari del sistema. Non si è invece voluto trasferire sugli stessi tutti i costi. Ne discende che contrariamente a quanto addotto dalla ricorrente, non incombe agli utenti coprire tutti i costi (FF 2012 1385; UHLMANN, op. cit., nota 21 in fine all' art. 81a Cost. ). In questo senso si può quindi condividere l'argomentazione del Consiglio di Stato, il quale rileva che la tassa di collegamento deve contribuire a finanziare le spese di gestione dell'offerta di trasporto pubblico ai sensi dell'art. 23 cpv. 2 LTPub, cioè i costi di produzione del servizio di trasporto pubblico non coperti con le entrate derivanti dalla vendita dei titoli di trasporto (biglietti e abbonamenti) e dagli introiti accessori (pubblicità). Anche su questi aspetti il ricorso si rivela infondato e, come tale, va respinto.</w:t>
      </w:r>
    </w:p>
    <w:p>
      <w:r>
        <w:rPr>
          <w:b/>
        </w:rPr>
        <w:t>E. 12.1</w:t>
      </w:r>
    </w:p>
    <w:p>
      <w:r>
        <w:t>La ricorrente, la quale si richiama all' art. 74 Cost. , rileva che la competenza legislativa globale in materia di protezione dell'ambiente è riservata alla Confederazione, segnatamente per quanto concerne l'introduzione di tasse di orientamento destinate a limitare comportamenti inquinanti, come peraltro risulta dall' art. 41 cpv. 1 LPAmb , il quale instaurerebbe una competenza esclusiva della Confederazione in materia di tasse d'incentivazione. A suo avviso è quindi ragionevolmente sostenibile ritenere che il Cantone non ha competenza esecutiva per istituire una tassa di collegamento che tende a limitare le immissioni a tutela dell'ambiente. In quanto la ricorrente sembra addurre la violazione del principio della preminenza del diritto federale ( art. 49 cpv. 1 Cost. , su questa nozione cfr. DTF 141 V 455 consid. 6.1 pag. 462; 140 V 574 consid. 5.1 pag. 578; 140 I 277 consid. 4.1 pag. 281; 218 consid. 5.1 pag. 221; 139 I 195 consid. 4 pag. 204; 138 I 468 consid. 2.3.1 pag. 470 seg.; 435 consid. 3.1 pag. 446), la censura è insufficientemente motivata (art. 42 cpv. 2 e 106 cpv. 2 LTF) e sfugge pertanto ad un esame di merito.</w:t>
      </w:r>
    </w:p>
    <w:p>
      <w:r>
        <w:rPr>
          <w:b/>
        </w:rPr>
        <w:t>E. 12.2</w:t>
      </w:r>
    </w:p>
    <w:p>
      <w:r>
        <w:t>A titolo del tutto abbondanziale ci si limita ad osservare che, come rilevato dal Consiglio di Stato (cfr. risposta del 4 ottobre 2016 pag. 44), senza essere contraddetto dalla ricorrente (la quale nulla ha addotto al riguardo nella propria replica), il riferimento alle tasse d'incentivazione disciplinate dalla LPAmb non è pertinente poiché le stesse si riferiscono all'importazione o il commercio di composti organici volatili ( art. 35a LPAmb ) e all'importazione, la fabbricazione o l'estrazione in territorio svizzero di olio da riscaldamento extra leggero, di benzina o gasolio con un tenore di zolfo superiore allo 0.1 % rispettivamente allo 0.001 % ( art. 35b e 35bis LPAmb ), quindi fattispecie del tutto diverse dal caso concreto.</w:t>
      </w:r>
    </w:p>
    <w:p>
      <w:r>
        <w:t>Si può inoltre aggiungere che, come ricordato dal Consiglio di Stato, la tassa di collegamento è volta alla riduzione dei volumi del traffico e al miglioramento delle condizioni di percorribilità sulla rete viaria e non ha solo meri scopi ambientali. Ora, al riguardo, gli obiettivi perseguiti attraverso la stessa non eludono certo il senso o lo spirito della legge sulla protezione dell'ambiente. Anzi, essi cercano semmai di concretizzare il fine che consiste, tra l'altro, nel proteggere l'uomo dagli effetti dannosi e molesti ( art. 1 cpv. 1 LPAmb ), oltre a non essere contrari ad alcuna disposizione della legge sulla protezione dell'ambiente (segnatamente non all' art. 65 cpv. 2 LPAmb che disciplina le competenze dei Cantoni in tale ambito). Inoltre, anche se la determinazione della cerchia degli assoggettati non è stata decisa esaminando la situazione di ogni singolo assoggettato, va osservato che lo scopo ricercato è di ridurre il traffico veicolare nelle zone interessate alle ore di punta il quale, come sottolineato dal Consiglio di Stato, partecipa a provocare gravi inconvenienti ambientali. Ciò che non disattende il diritto federale, segnatamente la LPAmb. Non va poi dimenticato che, come illustrato in precedenza (cfr. consid. 3.5.2), le immissioni provocate dal traffico della clientela dei centri commerciali vanno considerate come risultanti dall'esercizio del centro commerciale, ragione per cui è stato ammesso che vi era una relazione causale tra i centri commerciali e gli spostamenti della clientela che generano importanti correnti di traffico, e che si è concluso che un simile ragionamento poteva essere applicato per analogia ai proprietari fondiari che possiedono un numero elevato di posteggi messi a disposizione dei loro dipendenti e/o clienti.</w:t>
      </w:r>
    </w:p>
    <w:p>
      <w:r>
        <w:rPr>
          <w:b/>
        </w:rPr>
        <w:t>E. 13.1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13.2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6.5), l'entrata in vigore dev'essere fissata ex nunc. Il Consiglio di Stato è quindi invitato a fissare una nuova data per l'entrata in vigore delle norme contestate.</w:t>
      </w:r>
    </w:p>
    <w:p>
      <w:r>
        <w:rPr>
          <w:b/>
        </w:rPr>
        <w:t>E. 14</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