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2C_721/2009 vom 7. April 2010</w:t>
      </w:r>
    </w:p>
    <w:p>
      <w:r>
        <w:t>Bundesgericht, 2010-04-07, DE</w:t>
      </w:r>
    </w:p>
    <w:p>
      <w:r>
        <w:rPr>
          <w:b/>
        </w:rPr>
        <w:t xml:space="preserve">Quelle: </w:t>
      </w:r>
      <w:r>
        <w:t>https://mcp.opencaselaw.ch/entscheid/bger_2C_721_2009</w:t>
      </w:r>
    </w:p>
    <w:p>
      <w:r>
        <w:t>FR: TF 2C_721/2009 du 7 avril 2010</w:t>
      </w:r>
    </w:p>
    <w:p>
      <w:r>
        <w:t>IT: TF 2C_721/2009 del 7 aprile 2010</w:t>
      </w:r>
    </w:p>
    <w:p>
      <w:pPr>
        <w:pStyle w:val="Heading2"/>
      </w:pPr>
      <w:r>
        <w:t>Erwägungen</w:t>
      </w:r>
    </w:p>
    <w:p>
      <w:r>
        <w:rPr>
          <w:b/>
        </w:rPr>
        <w:t>E. 1.1</w:t>
      </w:r>
    </w:p>
    <w:p>
      <w:r>
        <w:t>Die Beschwerde ist zulässig (vgl. Art. 82 ff. BGG i.V.m. Art. 146 des Bundesgesetzes vom 14. Dezember 1990 über die direkte Bundessteuer [DBG; SR 642.11] sowie Art. 73 des Bundesgesetzes vom 14. Dezember 1990 über die Harmonisierung der direkten Steuern der Kantone und Gemeinden [StHG; SR 642.14]).</w:t>
      </w:r>
    </w:p>
    <w:p>
      <w:r>
        <w:rPr>
          <w:b/>
        </w:rPr>
        <w:t>E. 1.2</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w:t>
      </w:r>
    </w:p>
    <w:p>
      <w:r>
        <w:rPr>
          <w:b/>
        </w:rPr>
        <w:t>E. 2.1</w:t>
      </w:r>
    </w:p>
    <w:p>
      <w:r>
        <w:t>Nach Art. 33 Abs. 1 lit. d DBG ; Art. 9 Abs. 2 lit. d StHG und § 41 Abs. 1 lit. h des Steuergesetzes des Kantons Solothurn vom 1. Dezember 1985 (StG; BGS 614.11) werden die gemäss Gesetz, Statut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 Die bundesgerichtliche Rechtsprechung lässt den Abzug aber dann nicht zu, wenn eine Steuerumgehung vorliegt (vgl. dazu u.a. BGE 131 II 627 E. 4.2 u. 5.2 S. 633 ff.).</w:t>
      </w:r>
    </w:p>
    <w:p>
      <w:r>
        <w:rPr>
          <w:b/>
        </w:rPr>
        <w:t>E. 2.2</w:t>
      </w:r>
    </w:p>
    <w:p>
      <w:r>
        <w:t>Das Steuergericht hat sich auf diese Rechtsprechung berufen, um die umstrittene Abzugsberechtigung zu verneinen. Die Beschwerdeführer vertreten die Auffassung, es liege keine Steuerumgehung vor. Es erübrigt sich, darauf näher einzugehen (wie auch auf allfällige Fragen im Zusammenhang mit Art. 79b Abs. 3 BVG ), weil die Beschwerde schon aus anderem Grund abzuweisen ist (vgl. oben E. 1.2). Kapitalleistungen aus Vorsorge werden getrennt vom übrigen Einkommen zum Fünfteltarif einer vollen Jahressteuer unterworfen (vgl. Art. 38 DBG u. § 47 StG /SO). Vorliegend ist die Kapitalauszahlung von Fr. 92'333.-- mit der Sonderveranlagung erfasst worden, und zwar nicht gesamthaft, sondern nur in der Höhe von Fr. 52'333.--, nach Abzug des nachmaligen Einkaufsbeitrags von Fr. 40'000.--. Damit ist der streitige Vorsorgebeitrag schon einmal einkommensmindernd angerechnet worden. Das schliesst eine kumulative wie auch eine alternative Berücksichtigung bei der ordentlichen Veranlagung aus (vgl. dazu im Einzelnen StR 58/2003 879 E. 3.1). Die Beschwerdeführer bringen dagegen nichts vor, weshalb hier auf eine weitere Begründung verzichtet und auf die zitierte Rechtsprechung verwiesen werden kann. Die Sonderveranlagung ist übrigens unangefochten in Rechtskraft erwachsen, womit die Art und Weise der steuerreduzierenden Anrechnung des Einkaufsbeitrags als akzeptiert zu gelten hat.</w:t>
      </w:r>
    </w:p>
    <w:p>
      <w:r>
        <w:rPr>
          <w:b/>
        </w:rPr>
        <w:t>E. 3</w:t>
      </w:r>
    </w:p>
    <w:p>
      <w:r>
        <w:t>Nach dem Gesagten ist die Beschwerde abzuweisen und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