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2C_720/2015 vom 18. April 2016</w:t>
      </w:r>
    </w:p>
    <w:p>
      <w:r>
        <w:t>Bundesgericht, 2016-04-18, DE</w:t>
      </w:r>
    </w:p>
    <w:p>
      <w:r>
        <w:rPr>
          <w:b/>
        </w:rPr>
        <w:t xml:space="preserve">Quelle: </w:t>
      </w:r>
      <w:r>
        <w:t>https://mcp.opencaselaw.ch/entscheid/bger_2C_720_2015</w:t>
      </w:r>
    </w:p>
    <w:p>
      <w:r>
        <w:t>FR: TF 2C_720/2015 du 18 avril 2016</w:t>
      </w:r>
    </w:p>
    <w:p>
      <w:r>
        <w:t>IT: TF 2C_720/2015 del 18 aprile 2016</w:t>
      </w:r>
    </w:p>
    <w:p>
      <w:pPr>
        <w:pStyle w:val="Heading2"/>
      </w:pPr>
      <w:r>
        <w:t>Erwägungen</w:t>
      </w:r>
    </w:p>
    <w:p>
      <w:r>
        <w:rPr>
          <w:b/>
        </w:rPr>
        <w:t>E. 1.1</w:t>
      </w:r>
    </w:p>
    <w:p>
      <w:r>
        <w:t>Die Vorinstanz hat ein einziges Urteil für die Kantons- und Gemeindesteuern sowie für die direkte Bundessteuer erlassen, was zulässig ist, soweit die zu entscheidende Rechtsfrage im Bundesrecht und im harmonisierten kantonalen Recht - wie im vorliegenden Fall - gleich geregelt ist ( BGE 135 II 260 E. 1.3.1 S. 262 f.). Unter diesen Umständen ist den Beschwerdeführern nicht vorzuwerfen, nicht zwei getrennte Beschwerden eingereicht und keine getrennten Anträge gestellt zu haben; aus ihrer Eingabe geht hervor, dass sie beide Steuerarten betrifft ( BGE 135 II 260 E. 1.3.3 S. 264; Urteil 2C_1086/2012, 2C_1087/2012 vom 16. Mai 2013 E. 1.1). Das Bundesgericht hat hier für die Kantons- und Gemeindesteuern (2C_720/2015) und die direkte Bundessteuer (2C_721/2015)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(StHG; SR 642.14) zulässig. Die Beschwerdeführer sind gestützt auf Art. 89 Abs. 1 BGG zur Beschwerde in öffentlich-rechtlichen Angelegenheiten legitimiert. Auf die frist- und formgerecht eingereichte Beschwerde ist grundsätzlich - unter Vorbehalt der E. 1.3 und 1.4 hiernach - einzutreten ( Art. 42 und Art. 100 BGG ). Die falsche Bezeichnung des Rechtsmittels ("Staatsrechtliche Beschwerde") schadet den Beschwerdeführern nicht.</w:t>
      </w:r>
    </w:p>
    <w:p>
      <w:r>
        <w:rPr>
          <w:b/>
        </w:rPr>
        <w:t>E. 1.3</w:t>
      </w:r>
    </w:p>
    <w:p>
      <w:r>
        <w:t>Nicht einzutreten ist indes auf den Antrag, es seien entgangene Prämienverbilligungen rückwirkend an die Beschwerdeführerin 2 zurückzuerstatten. Eine allenfalls erfolgte Streichung von Prämienverbilligungen bildet nicht Gegenstand des vorliegenden Beschwerdeverfahrens, weshalb auch auf die Ausführungen der Beschwerdeführer in Bezug auf die Streitigkeiten mit dem Betreibungsamt Nidwalden bzw. nicht korrekt verwendete Korrespondenzadressen nicht näher einzugehen ist.</w:t>
      </w:r>
    </w:p>
    <w:p>
      <w:r>
        <w:rPr>
          <w:b/>
        </w:rPr>
        <w:t>E. 1.4</w:t>
      </w:r>
    </w:p>
    <w:p>
      <w:r>
        <w:t>Gemäss Art. 42 Abs. 1 und 2 BGG haben Rechtsschriften unter anderem die Begehren und deren Begründung zu enthalten; in der Begründung ist in gedrängter Form darzulegen, inwiefern der angefochtene Akt Recht verletzt (vgl. Art. 95 BGG ).</w:t>
      </w:r>
    </w:p>
    <w:p>
      <w:r>
        <w:rPr>
          <w:b/>
        </w:rPr>
        <w:t>E. 1.4.1</w:t>
      </w:r>
    </w:p>
    <w:p>
      <w:r>
        <w:t>Unerlässlich ist namentlich,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BGE 134 II 244 E. 2.1 S. 245 f.).</w:t>
      </w:r>
    </w:p>
    <w:p>
      <w:r>
        <w:rPr>
          <w:b/>
        </w:rPr>
        <w:t>E. 1.4.2</w:t>
      </w:r>
    </w:p>
    <w:p>
      <w:r>
        <w:t>Besonderes gilt hinsichtlich der vorinstanzlichen Sachverhaltsermittlung und Beweiswürdigung. Das Bundesgericht legt seinem Urteil den Sachverhalt zugrunde, wie die Vorinstanz ihn festgestellt hat ( Art. 105 Abs. 1 BGG ). Es kann diesen - soweit entscheidrelevant - berichtigen oder ergänzen, wenn er offensichtlich unrichtig, in Missachtung wesentlicher Verfahrensrechte ermittelt worden ist oder anderweitig auf einer Rechtsverletzung im Sinne von Art. 95 BGG beruht ( Art. 105 Abs. 2 BGG ). In die vorinstanzliche Beweiswürdigung greift das Bundesgericht nur ein, wenn sie willkürlich ist; das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(vgl. BGE 140 III 264 E. 2.3 S. 266 ; 137 I 58 E. 4.1.2 S. 62). Die betroffene Person muss also rechtsgenügend dartun, dass und inwiefern der Sachverhalt bzw. die beanstandete Beweiswürdigung klar und eindeutig mangelhaft - d.h. eben willkürlich - erscheint ( Art. 106 Abs. 2 BGG ; vgl. BGE 133 II 249 E. 1.4.3 S.254 f.; 133 III 350 E. 1.3 S. 251 f.). Rein appellatorische Kritik an der Sachverhaltsermittlung und an der Beweiswürdigung genügt den Begründungs- bzw. Rügeanforderungen nicht (vgl. BGE 139 II 404 E. 10.1 S. 445 mit Hinweisen).</w:t>
      </w:r>
    </w:p>
    <w:p>
      <w:r>
        <w:rPr>
          <w:b/>
        </w:rPr>
        <w:t>E. 1.4.3</w:t>
      </w:r>
    </w:p>
    <w:p>
      <w:r>
        <w:t>Eine diesen strengen Anforderungen genügende Begründung ist hier nur teilweise zu erkennen. Soweit das nicht der Fall ist, kann auf die vorgetragene Kritik nicht eingegangen werden.</w:t>
      </w:r>
    </w:p>
    <w:p>
      <w:r>
        <w:rPr>
          <w:b/>
        </w:rPr>
        <w:t>E. 2.1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Mit dieser Vorschrift stimmen Art. 53 Abs. 1 StHG und Art. 225 Abs. 1 des Gesetzes [des Kantons Nidwalden] vom 22. März 2000 über die Steuern des Kantons und der Gemeinden (Steuergesetz, StG/NW; NG 521.1) überein. Sodann unterliegen gemäss Art. 16 Abs. 1 DBG bzw. Art. 19 Abs. 1 StG /NW alle wiederkehrenden und einmaligen Einkünfte der Einkommenssteuer.</w:t>
      </w:r>
    </w:p>
    <w:p>
      <w:r>
        <w:rPr>
          <w:b/>
        </w:rPr>
        <w:t>E. 2.2</w:t>
      </w:r>
    </w:p>
    <w:p>
      <w:r>
        <w:t>In Anwendung dieser Bestimmungen hat das Verwaltungsgericht festgehalten, dass die Beschwerdeführer gemäss den eingereichten Kontoblättern der X.________ AG im Jahr 2007 ein Aktionärsdarlehen in der Höhe von Fr. 275'000.-- gewährt hätten. Per Ende 2007 habe der Saldo des Aktionärskontos Fr. 196'183.20 betragen. Der Steuererklärung 2007 könnten zwar Angaben über Beteiligungen an der Y.________ AG und der X.________ AG entnommen werden. Ein Aktionärsdarlehen sei aber nicht deklariert worden. Gleiches gelte für die Steuerperiode 2008. Erst in der Steuererklärung 2009 sei aufgrund nachträglicher Deklaration des Aktionärsdarlehens an die X.________ AG ein viel höheres Vermögen ausgewiesen worden. Da dem Steueramt unklar war, woher das Geld kam, habe es die Beschwerdeführer im Rahmen eines Nachsteuerverfahrens wiederholt aufgefordert, Unterlagen und Belege zum Finanzierungsnachweis des Darlehens einzureichen. Weil die Beschwerdeführer dieser Aufforderung - trotz Mahnung - nur teilweise nachgekommen seien, habe das Steueramt das Aktionärsdarlehen im Umfang von Fr. 196'183.20 als Einkommen (und Vermögen) in der Steuerperiode 2007 ermessensweise aufgerechnet (vgl. angefochtener Entscheid E. 5.3 und 5.4). Die Ermessensveranlagung sei gestützt auf Art. 130 Abs. 2 DBG bzw. Art. 199 Abs. 2 StG /NW zu Recht erfolgt, da sämtliche Auflagen zur Klärung des Sachverhalts unerfüllt geblieben seien. Aufgrund der Akten sei kein direkter Zusammenhang zwischen dem Erlös aus Erfindungskauf im Jahr 2001 (in Italien) und dem Aktionärsdarlehen in der Höhe von Fr. 275'000.-- ersichtlich. Vielmehr sei davon auszugehen, dass mit dem Konkurs der Y.________ AG per 18. Oktober 2007 - in welche der ursprüngliche Verkaufserlös aus dem Jahr 2001 in Form eines Darlehens bzw. später in Form von erhöhtem Eigenkapital angeblich investiert worden war - der Erlös aus Erfindungskauf vermutlich vollumfänglich "untergegangen" sei. Von den Beschwerdeführern sei zu keinem Zeitpunkt ein Nachweis in Form eines nachvollziehbaren Geldflusses vorgelegt worden, der darzutun vermöchte, dass Geldmittel aus dem Erfindungskauf in Italien stammten bzw. mit einem Teil des Verkaufserlöses identisch seien. Die Mittelherkunft für das in der Steuerperiode 2007 gewährte Darlehen bleibe damit auch im Rechtsmittelverfahren unklar, weshalb das Steueramt zu Recht eine ermessensweise Aufrechnung vorgenommen habe (vgl. angefochtener Entscheid E. 6.1 bis 6.3).</w:t>
      </w:r>
    </w:p>
    <w:p>
      <w:r>
        <w:rPr>
          <w:b/>
        </w:rPr>
        <w:t>E. 2.3</w:t>
      </w:r>
    </w:p>
    <w:p>
      <w:r>
        <w:t>Mit diesen entscheidwesentlichen Erwägungen des angefochtenen Urteils setzen sich die Beschwerdeführer vor Bundesgericht nicht rechtsgenüglich auseinander (vgl. E. 1.4.1 hiervor). Ihre grösstenteils appellatorischen Ausführungen vermögen nicht aufzuzeigen, dass die von der Vorinstanz ihrem Urteil zugrunde gelegten Sachverhaltsfeststellungen geradezu offensichtlich unrichtig wären (vgl. E. 1.4.2 hiervor). Ebenso wenig ist ersichtlich, inwiefern die vom Verwaltungsgericht aus diesen Feststellungen gezogenen rechtlichen Schlüsse gegen die hier massgeblichen Bestimmungen (vgl. E. 2.1 hiervor) verstossen sollen.</w:t>
      </w:r>
    </w:p>
    <w:p>
      <w:r>
        <w:t>Soweit die Beschwerdeführer wiederholt ausführen, der Nachweis für die tatsächlich geflossenen Gelder ergebe sich aus dem bereits der Vorinstanz vorgelegten Darlehensvertrag vom 1. Februar 2004 zwischen der Z.________ s.r.l. und dem Beschwerdeführer 1, so ist ihnen entgegen zu halten, dass sich mit diesem Dokument keine tatsächlich erfolgten Geldflüsse beweisen lassen. Vielmehr wären hierzu Bankkontoauszüge oder -belege erforderlich, die jedoch von den Beschwerdeführern nie eingereicht worden sind. In Bezug auf angeblich nicht gewährte Abzüge vom ermessensweise aufgerechneten Einkommensbetrag in der Höhe von Fr. 196'183.20 hat die Vorinstanz zu Recht ausgeführt, dass das gesamte Aktionärsdarlehen mit Fr. 275'000.-- verbucht und somit den Beschwerdeführern ein Betrag von rund Fr. 80'000.-- als Abzug zugelassen worden war (vgl. angefochtener Entscheid E. 6.10).</w:t>
      </w:r>
    </w:p>
    <w:p>
      <w:r>
        <w:rPr>
          <w:b/>
        </w:rPr>
        <w:t>E. 2.4</w:t>
      </w:r>
    </w:p>
    <w:p>
      <w:r>
        <w:t>Mangels eines substanziierten Nachweises des zur Finanzierung des Darlehens notwendigen Geldflusses gelingt den Beschwerdeführern der Nachweis der offensichtlichen Unrichtigkeit der Ermessenseinschätzung nicht und erweist sich die von den Behörden vorgenommene Nachbesteuerung im Umfang von Fr. 196'183.20 damit als gerechtfertigt (vgl. Art. 130 Abs. 2 DBG bzw. Art. 199 Abs. 2 StG /NW).</w:t>
      </w:r>
    </w:p>
    <w:p>
      <w:r>
        <w:rPr>
          <w:b/>
        </w:rPr>
        <w:t>E. 3</w:t>
      </w:r>
    </w:p>
    <w:p>
      <w:r>
        <w:t>Nach dem Gesagten sind die beiden Verfahren zu vereinigen und die Beschwerden im vereinfachten Verfahren gemäss Art. 109 BGG abzuweisen, soweit darauf überhaupt eingetreten werden kann. Zur Begründung wird ergänzend auf die Erwägungen im angefochtenen Urteil verwiesen ( Art. 109 Abs. 3 BGG ).</w:t>
      </w:r>
    </w:p>
    <w:p>
      <w:r>
        <w:t>Bei diesem Ausgang des Verfahrens werden die Beschwerdeführer unter solidarischer Haftung kostenpflichtig (vgl. Art. 65 f. BGG).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